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B8EB" w14:textId="68C7C0F8" w:rsidR="00A6294B" w:rsidRPr="00AA246E" w:rsidRDefault="00A13D50" w:rsidP="00AA246E">
      <w:pPr>
        <w:rPr>
          <w:rFonts w:ascii="Arial" w:hAnsi="Arial" w:cs="Arial"/>
          <w:noProof/>
          <w:color w:val="000000" w:themeColor="text1"/>
          <w:sz w:val="20"/>
        </w:rPr>
      </w:pPr>
      <w:r>
        <w:rPr>
          <w:noProof/>
          <w:lang w:eastAsia="ja-JP"/>
        </w:rPr>
        <mc:AlternateContent>
          <mc:Choice Requires="wps">
            <w:drawing>
              <wp:anchor distT="0" distB="0" distL="114300" distR="114300" simplePos="0" relativeHeight="251660288" behindDoc="0" locked="0" layoutInCell="1" allowOverlap="1" wp14:anchorId="5242DF5B" wp14:editId="2F06E639">
                <wp:simplePos x="0" y="0"/>
                <wp:positionH relativeFrom="column">
                  <wp:posOffset>4917440</wp:posOffset>
                </wp:positionH>
                <wp:positionV relativeFrom="paragraph">
                  <wp:posOffset>-220333</wp:posOffset>
                </wp:positionV>
                <wp:extent cx="147955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79550" cy="266700"/>
                        </a:xfrm>
                        <a:prstGeom prst="rect">
                          <a:avLst/>
                        </a:prstGeom>
                        <a:noFill/>
                        <a:ln w="6350">
                          <a:noFill/>
                        </a:ln>
                      </wps:spPr>
                      <wps:txbx>
                        <w:txbxContent>
                          <w:p w14:paraId="5339BB00" w14:textId="77777777" w:rsidR="00A13D50" w:rsidRPr="00B16C71" w:rsidRDefault="00A13D50" w:rsidP="00A13D50">
                            <w:pPr>
                              <w:jc w:val="right"/>
                              <w:rPr>
                                <w:rFonts w:ascii="Arial Narrow" w:hAnsi="Arial Narrow"/>
                                <w:b/>
                                <w:color w:val="FFFFFF" w:themeColor="background1"/>
                              </w:rPr>
                            </w:pPr>
                            <w:r w:rsidRPr="00B16C71">
                              <w:rPr>
                                <w:rFonts w:ascii="Arial Narrow" w:hAnsi="Arial Narrow"/>
                                <w:b/>
                                <w:color w:val="FFFFFF" w:themeColor="background1"/>
                              </w:rPr>
                              <w:t>Updated – version 1.</w:t>
                            </w:r>
                            <w:r>
                              <w:rPr>
                                <w:rFonts w:ascii="Arial Narrow" w:hAnsi="Arial Narrow"/>
                                <w:b/>
                                <w:color w:val="FFFFFF" w:themeColor="background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2DF5B" id="_x0000_t202" coordsize="21600,21600" o:spt="202" path="m,l,21600r21600,l21600,xe">
                <v:stroke joinstyle="miter"/>
                <v:path gradientshapeok="t" o:connecttype="rect"/>
              </v:shapetype>
              <v:shape id="Text Box 5" o:spid="_x0000_s1026" type="#_x0000_t202" style="position:absolute;margin-left:387.2pt;margin-top:-17.35pt;width:116.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u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" filled="f" stroked="f" strokeweight=".5pt">
                <v:textbox>
                  <w:txbxContent>
                    <w:p w14:paraId="5339BB00" w14:textId="77777777" w:rsidR="00A13D50" w:rsidRPr="00B16C71" w:rsidRDefault="00A13D50" w:rsidP="00A13D50">
                      <w:pPr>
                        <w:jc w:val="right"/>
                        <w:rPr>
                          <w:rFonts w:ascii="Arial Narrow" w:hAnsi="Arial Narrow"/>
                          <w:b/>
                          <w:color w:val="FFFFFF" w:themeColor="background1"/>
                        </w:rPr>
                      </w:pPr>
                      <w:r w:rsidRPr="00B16C71">
                        <w:rPr>
                          <w:rFonts w:ascii="Arial Narrow" w:hAnsi="Arial Narrow"/>
                          <w:b/>
                          <w:color w:val="FFFFFF" w:themeColor="background1"/>
                        </w:rPr>
                        <w:t>Updated – version 1.</w:t>
                      </w:r>
                      <w:r>
                        <w:rPr>
                          <w:rFonts w:ascii="Arial Narrow" w:hAnsi="Arial Narrow"/>
                          <w:b/>
                          <w:color w:val="FFFFFF" w:themeColor="background1"/>
                        </w:rPr>
                        <w:t>1</w:t>
                      </w:r>
                    </w:p>
                  </w:txbxContent>
                </v:textbox>
              </v:shape>
            </w:pict>
          </mc:Fallback>
        </mc:AlternateContent>
      </w:r>
      <w:r>
        <w:rPr>
          <w:noProof/>
        </w:rPr>
        <w:drawing>
          <wp:anchor distT="0" distB="0" distL="114300" distR="114300" simplePos="0" relativeHeight="251658240" behindDoc="0" locked="0" layoutInCell="1" allowOverlap="1" wp14:anchorId="393E070B" wp14:editId="3E04A4F9">
            <wp:simplePos x="0" y="0"/>
            <wp:positionH relativeFrom="margin">
              <wp:posOffset>-709930</wp:posOffset>
            </wp:positionH>
            <wp:positionV relativeFrom="margin">
              <wp:posOffset>-883932</wp:posOffset>
            </wp:positionV>
            <wp:extent cx="7552690" cy="10683875"/>
            <wp:effectExtent l="0" t="0" r="0" b="3175"/>
            <wp:wrapSquare wrapText="bothSides"/>
            <wp:docPr id="285951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2690"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5F8">
        <w:tab/>
      </w:r>
      <w:r w:rsidR="003575F8">
        <w:tab/>
      </w:r>
    </w:p>
    <w:p w14:paraId="5CF48F45" w14:textId="77777777" w:rsidR="00C6058D" w:rsidRPr="00D23513" w:rsidRDefault="00C6058D" w:rsidP="00C6058D">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lastRenderedPageBreak/>
        <w:t>Amendments to study design</w:t>
      </w:r>
      <w:r w:rsidRPr="00D23513">
        <w:t xml:space="preserve">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C6058D" w:rsidRPr="00D23513" w14:paraId="30B008CA" w14:textId="77777777" w:rsidTr="00ED36AD">
        <w:trPr>
          <w:cnfStyle w:val="100000000000" w:firstRow="1" w:lastRow="0" w:firstColumn="0" w:lastColumn="0" w:oddVBand="0" w:evenVBand="0" w:oddHBand="0" w:evenHBand="0" w:firstRowFirstColumn="0" w:firstRowLastColumn="0" w:lastRowFirstColumn="0" w:lastRowLastColumn="0"/>
          <w:trHeight w:val="400"/>
        </w:trPr>
        <w:tc>
          <w:tcPr>
            <w:tcW w:w="1548" w:type="dxa"/>
          </w:tcPr>
          <w:p w14:paraId="2D293F41" w14:textId="77777777" w:rsidR="00C6058D" w:rsidRPr="00D23513" w:rsidRDefault="00C6058D" w:rsidP="00ED36AD">
            <w:pPr>
              <w:pStyle w:val="VCAAtablecondensedheading"/>
            </w:pPr>
            <w:r w:rsidRPr="00D23513">
              <w:t>Version</w:t>
            </w:r>
          </w:p>
        </w:tc>
        <w:tc>
          <w:tcPr>
            <w:tcW w:w="2664" w:type="dxa"/>
          </w:tcPr>
          <w:p w14:paraId="226C7DC0" w14:textId="77777777" w:rsidR="00C6058D" w:rsidRPr="00D23513" w:rsidRDefault="00C6058D" w:rsidP="00ED36AD">
            <w:pPr>
              <w:pStyle w:val="VCAAtablecondensedheading"/>
            </w:pPr>
            <w:r w:rsidRPr="00D23513">
              <w:t>Status</w:t>
            </w:r>
          </w:p>
        </w:tc>
        <w:tc>
          <w:tcPr>
            <w:tcW w:w="2658" w:type="dxa"/>
          </w:tcPr>
          <w:p w14:paraId="3721001F" w14:textId="77777777" w:rsidR="00C6058D" w:rsidRPr="00D23513" w:rsidRDefault="00C6058D" w:rsidP="00ED36AD">
            <w:pPr>
              <w:pStyle w:val="VCAAtablecondensedheading"/>
            </w:pPr>
            <w:r w:rsidRPr="00D23513">
              <w:t>Release Date</w:t>
            </w:r>
          </w:p>
        </w:tc>
        <w:tc>
          <w:tcPr>
            <w:tcW w:w="2911" w:type="dxa"/>
          </w:tcPr>
          <w:p w14:paraId="080E8925" w14:textId="77777777" w:rsidR="00C6058D" w:rsidRPr="00D23513" w:rsidRDefault="00C6058D" w:rsidP="00ED36AD">
            <w:pPr>
              <w:pStyle w:val="VCAAtablecondensedheading"/>
            </w:pPr>
            <w:r w:rsidRPr="00D23513">
              <w:t>Comments</w:t>
            </w:r>
          </w:p>
        </w:tc>
      </w:tr>
      <w:tr w:rsidR="00C6058D" w:rsidRPr="00D23513" w14:paraId="433DEA78" w14:textId="77777777" w:rsidTr="00ED36AD">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0426C4A5" w14:textId="77777777" w:rsidR="00C6058D" w:rsidRPr="00D23513" w:rsidRDefault="00C6058D" w:rsidP="00ED36AD">
            <w:pPr>
              <w:pStyle w:val="VCAAtablecondensed"/>
            </w:pPr>
            <w:r>
              <w:t>1.1</w:t>
            </w:r>
          </w:p>
        </w:tc>
        <w:tc>
          <w:tcPr>
            <w:tcW w:w="2664" w:type="dxa"/>
          </w:tcPr>
          <w:p w14:paraId="5E529B6C" w14:textId="156AF5BF" w:rsidR="00C6058D" w:rsidRPr="00D23513" w:rsidRDefault="00C6058D" w:rsidP="00ED36AD">
            <w:pPr>
              <w:pStyle w:val="VCAAtablecondensed"/>
            </w:pPr>
            <w:r>
              <w:t>Current</w:t>
            </w:r>
          </w:p>
        </w:tc>
        <w:tc>
          <w:tcPr>
            <w:tcW w:w="2658" w:type="dxa"/>
          </w:tcPr>
          <w:p w14:paraId="222161E4" w14:textId="38A77EA9" w:rsidR="00C6058D" w:rsidRPr="00D23513" w:rsidRDefault="00C6058D" w:rsidP="00ED36AD">
            <w:pPr>
              <w:pStyle w:val="VCAAtablecondensed"/>
            </w:pPr>
            <w:r>
              <w:t>29 July 2024</w:t>
            </w:r>
          </w:p>
        </w:tc>
        <w:tc>
          <w:tcPr>
            <w:tcW w:w="2911" w:type="dxa"/>
          </w:tcPr>
          <w:p w14:paraId="75B531A1" w14:textId="3440F600" w:rsidR="00C6058D" w:rsidRPr="00D23513" w:rsidRDefault="00C6058D" w:rsidP="00ED36AD">
            <w:pPr>
              <w:pStyle w:val="VCAAtablecondensed"/>
            </w:pPr>
            <w:r>
              <w:t>Update to term ‘priorities’ to ‘goal and objectives</w:t>
            </w:r>
            <w:r w:rsidR="003B4C8A">
              <w:t>’</w:t>
            </w:r>
            <w:r>
              <w:t xml:space="preserve"> regarding World Health </w:t>
            </w:r>
            <w:r w:rsidR="006A2F4F">
              <w:t>Organization</w:t>
            </w:r>
            <w:r>
              <w:t xml:space="preserve"> (WHO) (page</w:t>
            </w:r>
            <w:r w:rsidR="006A2F4F">
              <w:t xml:space="preserve"> 27, 28 and 29</w:t>
            </w:r>
            <w:r>
              <w:t>)</w:t>
            </w:r>
          </w:p>
        </w:tc>
      </w:tr>
      <w:tr w:rsidR="00C6058D" w:rsidRPr="00D23513" w14:paraId="6E5FC0E3" w14:textId="77777777" w:rsidTr="00ED36AD">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3958D689" w14:textId="77777777" w:rsidR="00C6058D" w:rsidRPr="00D23513" w:rsidRDefault="00C6058D" w:rsidP="00ED36AD">
            <w:pPr>
              <w:pStyle w:val="VCAAtablecondensed"/>
            </w:pPr>
            <w:r w:rsidRPr="00D23513">
              <w:t>1.0</w:t>
            </w:r>
          </w:p>
        </w:tc>
        <w:tc>
          <w:tcPr>
            <w:tcW w:w="2664" w:type="dxa"/>
          </w:tcPr>
          <w:p w14:paraId="202B108D" w14:textId="77777777" w:rsidR="00C6058D" w:rsidRPr="00D23513" w:rsidRDefault="00C6058D" w:rsidP="00ED36AD">
            <w:pPr>
              <w:pStyle w:val="VCAAtablecondensed"/>
            </w:pPr>
            <w:r w:rsidRPr="00D23513">
              <w:t>Superseded</w:t>
            </w:r>
          </w:p>
        </w:tc>
        <w:tc>
          <w:tcPr>
            <w:tcW w:w="2658" w:type="dxa"/>
          </w:tcPr>
          <w:p w14:paraId="2F26AF57" w14:textId="0DEA44FC" w:rsidR="00C6058D" w:rsidRPr="00D23513" w:rsidRDefault="006A2F4F" w:rsidP="00ED36AD">
            <w:pPr>
              <w:pStyle w:val="VCAAtablecondensed"/>
            </w:pPr>
            <w:r>
              <w:t>7</w:t>
            </w:r>
            <w:r w:rsidR="00C6058D">
              <w:t xml:space="preserve"> Ma</w:t>
            </w:r>
            <w:r>
              <w:t>y</w:t>
            </w:r>
            <w:r w:rsidR="00C6058D">
              <w:t xml:space="preserve"> 202</w:t>
            </w:r>
            <w:r>
              <w:t>4</w:t>
            </w:r>
          </w:p>
        </w:tc>
        <w:tc>
          <w:tcPr>
            <w:tcW w:w="2911" w:type="dxa"/>
          </w:tcPr>
          <w:p w14:paraId="7A216655" w14:textId="77777777" w:rsidR="00C6058D" w:rsidRPr="00D23513" w:rsidRDefault="00C6058D" w:rsidP="00ED36AD">
            <w:pPr>
              <w:pStyle w:val="VCAAtablecondensed"/>
            </w:pPr>
            <w:r w:rsidRPr="00D23513">
              <w:t xml:space="preserve">Original </w:t>
            </w:r>
            <w:r>
              <w:t>study design.</w:t>
            </w:r>
          </w:p>
        </w:tc>
      </w:tr>
    </w:tbl>
    <w:p w14:paraId="711F9C1B" w14:textId="77777777" w:rsidR="00C6058D" w:rsidRDefault="00C6058D" w:rsidP="00C6058D">
      <w:pPr>
        <w:jc w:val="right"/>
        <w:rPr>
          <w:rFonts w:ascii="Arial Narrow" w:hAnsi="Arial Narrow"/>
          <w:b/>
          <w:color w:val="FFFFFF" w:themeColor="background1"/>
        </w:rPr>
      </w:pPr>
      <w:r w:rsidRPr="00B16C71">
        <w:rPr>
          <w:rFonts w:ascii="Arial Narrow" w:hAnsi="Arial Narrow"/>
          <w:b/>
          <w:color w:val="FFFFFF" w:themeColor="background1"/>
        </w:rPr>
        <w:t>Updated – version 1.</w:t>
      </w:r>
      <w:r>
        <w:rPr>
          <w:rFonts w:ascii="Arial Narrow" w:hAnsi="Arial Narrow"/>
          <w:b/>
          <w:color w:val="FFFFFF" w:themeColor="background1"/>
        </w:rPr>
        <w:t>2</w:t>
      </w:r>
    </w:p>
    <w:p w14:paraId="03B3A076" w14:textId="77777777" w:rsidR="00C6058D" w:rsidRDefault="00C6058D" w:rsidP="00C6058D">
      <w:pPr>
        <w:jc w:val="right"/>
        <w:rPr>
          <w:rFonts w:ascii="Arial Narrow" w:hAnsi="Arial Narrow"/>
          <w:b/>
          <w:color w:val="FFFFFF" w:themeColor="background1"/>
        </w:rPr>
      </w:pPr>
    </w:p>
    <w:p w14:paraId="5DDDCFDF" w14:textId="77777777" w:rsidR="00C6058D" w:rsidRDefault="00C6058D" w:rsidP="00C6058D">
      <w:pPr>
        <w:jc w:val="right"/>
        <w:rPr>
          <w:rFonts w:ascii="Arial Narrow" w:hAnsi="Arial Narrow"/>
          <w:b/>
          <w:color w:val="FFFFFF" w:themeColor="background1"/>
        </w:rPr>
      </w:pPr>
    </w:p>
    <w:p w14:paraId="404809C5" w14:textId="77777777" w:rsidR="00C6058D" w:rsidRDefault="00C6058D" w:rsidP="00C6058D">
      <w:pPr>
        <w:jc w:val="right"/>
        <w:rPr>
          <w:rFonts w:ascii="Arial Narrow" w:hAnsi="Arial Narrow"/>
          <w:b/>
          <w:color w:val="FFFFFF" w:themeColor="background1"/>
        </w:rPr>
      </w:pPr>
    </w:p>
    <w:p w14:paraId="2174C67F" w14:textId="77777777" w:rsidR="00C6058D" w:rsidRDefault="00F45362" w:rsidP="00C6058D">
      <w:pPr>
        <w:pStyle w:val="VCAAtrademarkinfo"/>
        <w:spacing w:before="0"/>
        <w:rPr>
          <w:lang w:val="en-AU"/>
        </w:rPr>
      </w:pPr>
      <w:r>
        <w:rPr>
          <w:lang w:val="en-AU"/>
        </w:rPr>
        <w:br/>
      </w:r>
      <w:r>
        <w:rPr>
          <w:lang w:val="en-AU"/>
        </w:rPr>
        <w:br/>
      </w:r>
      <w:r>
        <w:rPr>
          <w:lang w:val="en-AU"/>
        </w:rPr>
        <w:br/>
      </w:r>
    </w:p>
    <w:p w14:paraId="5794567F" w14:textId="77777777" w:rsidR="00C6058D" w:rsidRDefault="00C6058D" w:rsidP="00C6058D">
      <w:pPr>
        <w:pStyle w:val="VCAAtrademarkinfo"/>
        <w:spacing w:before="0"/>
        <w:rPr>
          <w:lang w:val="en-AU"/>
        </w:rPr>
      </w:pPr>
    </w:p>
    <w:p w14:paraId="2375BC3C" w14:textId="77777777" w:rsidR="00C6058D" w:rsidRDefault="00C6058D" w:rsidP="00C6058D">
      <w:pPr>
        <w:pStyle w:val="VCAAtrademarkinfo"/>
        <w:spacing w:before="0"/>
        <w:rPr>
          <w:lang w:val="en-AU"/>
        </w:rPr>
      </w:pPr>
    </w:p>
    <w:p w14:paraId="33472369" w14:textId="77777777" w:rsidR="00C6058D" w:rsidRDefault="00C6058D" w:rsidP="00C6058D">
      <w:pPr>
        <w:pStyle w:val="VCAAtrademarkinfo"/>
        <w:spacing w:before="0"/>
        <w:rPr>
          <w:lang w:val="en-AU"/>
        </w:rPr>
      </w:pPr>
    </w:p>
    <w:p w14:paraId="1644BE27" w14:textId="77777777" w:rsidR="00C6058D" w:rsidRDefault="00C6058D" w:rsidP="00C6058D">
      <w:pPr>
        <w:pStyle w:val="VCAAtrademarkinfo"/>
        <w:spacing w:before="0"/>
        <w:rPr>
          <w:lang w:val="en-AU"/>
        </w:rPr>
      </w:pPr>
    </w:p>
    <w:p w14:paraId="33F6483F" w14:textId="77777777" w:rsidR="00C6058D" w:rsidRDefault="00C6058D" w:rsidP="00C6058D">
      <w:pPr>
        <w:pStyle w:val="VCAAtrademarkinfo"/>
        <w:spacing w:before="0"/>
        <w:rPr>
          <w:lang w:val="en-AU"/>
        </w:rPr>
      </w:pPr>
    </w:p>
    <w:p w14:paraId="17B027A9" w14:textId="77777777" w:rsidR="00C6058D" w:rsidRDefault="00C6058D" w:rsidP="00C6058D">
      <w:pPr>
        <w:pStyle w:val="VCAAtrademarkinfo"/>
        <w:spacing w:before="0"/>
        <w:rPr>
          <w:lang w:val="en-AU"/>
        </w:rPr>
      </w:pPr>
    </w:p>
    <w:p w14:paraId="437FAC2F" w14:textId="77777777" w:rsidR="00C6058D" w:rsidRDefault="00C6058D" w:rsidP="00C6058D">
      <w:pPr>
        <w:pStyle w:val="VCAAtrademarkinfo"/>
        <w:spacing w:before="0"/>
        <w:rPr>
          <w:lang w:val="en-AU"/>
        </w:rPr>
      </w:pPr>
    </w:p>
    <w:p w14:paraId="7796240B" w14:textId="77777777" w:rsidR="00C6058D" w:rsidRDefault="00C6058D" w:rsidP="00C6058D">
      <w:pPr>
        <w:pStyle w:val="VCAAtrademarkinfo"/>
        <w:spacing w:before="0"/>
        <w:rPr>
          <w:lang w:val="en-AU"/>
        </w:rPr>
      </w:pPr>
    </w:p>
    <w:p w14:paraId="33CC1BEF" w14:textId="77777777" w:rsidR="00C6058D" w:rsidRDefault="00C6058D" w:rsidP="00C6058D">
      <w:pPr>
        <w:pStyle w:val="VCAAtrademarkinfo"/>
        <w:spacing w:before="0"/>
        <w:rPr>
          <w:lang w:val="en-AU"/>
        </w:rPr>
      </w:pPr>
    </w:p>
    <w:p w14:paraId="325D81AB" w14:textId="77777777" w:rsidR="00C6058D" w:rsidRDefault="00C6058D" w:rsidP="00C6058D">
      <w:pPr>
        <w:pStyle w:val="VCAAtrademarkinfo"/>
        <w:spacing w:before="0"/>
        <w:rPr>
          <w:lang w:val="en-AU"/>
        </w:rPr>
      </w:pPr>
    </w:p>
    <w:p w14:paraId="7E75E7CE" w14:textId="77777777" w:rsidR="00C6058D" w:rsidRDefault="00C6058D" w:rsidP="00C6058D">
      <w:pPr>
        <w:pStyle w:val="VCAAtrademarkinfo"/>
        <w:spacing w:before="0"/>
        <w:rPr>
          <w:lang w:val="en-AU"/>
        </w:rPr>
      </w:pPr>
    </w:p>
    <w:p w14:paraId="2D804495" w14:textId="77777777" w:rsidR="00C6058D" w:rsidRDefault="00C6058D" w:rsidP="00C6058D">
      <w:pPr>
        <w:pStyle w:val="VCAAtrademarkinfo"/>
        <w:spacing w:before="0"/>
        <w:rPr>
          <w:lang w:val="en-AU"/>
        </w:rPr>
      </w:pPr>
    </w:p>
    <w:p w14:paraId="167AEA21" w14:textId="77777777" w:rsidR="00AA246E" w:rsidRDefault="00AA246E" w:rsidP="00C6058D">
      <w:pPr>
        <w:pStyle w:val="VCAAtrademarkinfo"/>
        <w:spacing w:before="0"/>
        <w:rPr>
          <w:lang w:val="en-AU"/>
        </w:rPr>
      </w:pPr>
    </w:p>
    <w:p w14:paraId="1AF6153E" w14:textId="77777777" w:rsidR="00C6058D" w:rsidRDefault="00C6058D" w:rsidP="00C6058D">
      <w:pPr>
        <w:pStyle w:val="VCAAtrademarkinfo"/>
        <w:spacing w:before="0"/>
        <w:rPr>
          <w:lang w:val="en-AU"/>
        </w:rPr>
      </w:pPr>
    </w:p>
    <w:p w14:paraId="11EFBC48" w14:textId="72621D11" w:rsidR="00A6294B" w:rsidRPr="00C6058D" w:rsidRDefault="00F45362" w:rsidP="00C6058D">
      <w:pPr>
        <w:pStyle w:val="VCAAtrademarkinfo"/>
        <w:spacing w:before="0"/>
        <w:rPr>
          <w:lang w:val="en-GB"/>
        </w:rPr>
      </w:pPr>
      <w:r>
        <w:rPr>
          <w:lang w:val="en-AU"/>
        </w:rPr>
        <w:br/>
      </w:r>
      <w:r>
        <w:rPr>
          <w:lang w:val="en-AU"/>
        </w:rPr>
        <w:br/>
      </w:r>
      <w:r w:rsidR="00A6294B" w:rsidRPr="00C6058D">
        <w:rPr>
          <w:lang w:val="en-GB"/>
        </w:rPr>
        <w:t>Authorised and published by the Victorian Curriculum and Assessment Authority</w:t>
      </w:r>
      <w:r w:rsidR="00A6294B" w:rsidRPr="00C6058D">
        <w:rPr>
          <w:lang w:val="en-GB"/>
        </w:rPr>
        <w:br/>
        <w:t>Level 7, 2 Lonsdale Street</w:t>
      </w:r>
      <w:r w:rsidR="00A6294B" w:rsidRPr="00C6058D">
        <w:rPr>
          <w:lang w:val="en-GB"/>
        </w:rPr>
        <w:br/>
        <w:t>Melbourne VIC 3000</w:t>
      </w:r>
    </w:p>
    <w:p w14:paraId="3516DFE3" w14:textId="7B212710" w:rsidR="00A6294B" w:rsidRPr="00C14D55" w:rsidRDefault="00A6294B" w:rsidP="00A6294B">
      <w:pPr>
        <w:pStyle w:val="VCAAtrademarkinfo"/>
        <w:rPr>
          <w:lang w:val="en-AU"/>
        </w:rPr>
      </w:pPr>
      <w:r w:rsidRPr="00BB74C5">
        <w:rPr>
          <w:lang w:val="en-AU"/>
        </w:rPr>
        <w:t>ISBN: 978-1-</w:t>
      </w:r>
      <w:r w:rsidR="004B78A4" w:rsidRPr="004B78A4">
        <w:rPr>
          <w:color w:val="000000"/>
          <w:sz w:val="24"/>
          <w:szCs w:val="24"/>
        </w:rPr>
        <w:t xml:space="preserve"> </w:t>
      </w:r>
      <w:r w:rsidR="004B78A4" w:rsidRPr="004B78A4">
        <w:t>923025-79-0</w:t>
      </w:r>
    </w:p>
    <w:p w14:paraId="768CC853" w14:textId="662478E8" w:rsidR="003575F8" w:rsidRPr="00054522" w:rsidRDefault="00A6294B" w:rsidP="00F45362">
      <w:pPr>
        <w:pStyle w:val="VCAAtrademarkinfo"/>
        <w:rPr>
          <w:lang w:val="en-AU"/>
        </w:rPr>
      </w:pPr>
      <w:r w:rsidRPr="00C14D55">
        <w:rPr>
          <w:lang w:val="en-AU"/>
        </w:rPr>
        <w:t>© Victorian Curriculum and Assessment Authority 20</w:t>
      </w:r>
      <w:r w:rsidR="00FB55C2">
        <w:rPr>
          <w:lang w:val="en-AU"/>
        </w:rPr>
        <w:t>2</w:t>
      </w:r>
      <w:r w:rsidR="00157C8F">
        <w:rPr>
          <w:lang w:val="en-AU"/>
        </w:rPr>
        <w:t>4</w:t>
      </w:r>
      <w:r w:rsidR="003575F8" w:rsidRPr="00054522">
        <w:t>.</w:t>
      </w:r>
    </w:p>
    <w:p w14:paraId="4934C7FC" w14:textId="131507CD" w:rsidR="00A6294B" w:rsidRPr="00C14D55" w:rsidRDefault="00A6294B" w:rsidP="00A6294B">
      <w:pPr>
        <w:pStyle w:val="VCAAtrademarkinfo"/>
        <w:rPr>
          <w:lang w:val="en-AU"/>
        </w:rPr>
      </w:pPr>
      <w:r w:rsidRPr="00C14D55">
        <w:rPr>
          <w:lang w:val="en-AU"/>
        </w:rPr>
        <w:t xml:space="preserve">No part of this publication may be reproduced except as specified under the </w:t>
      </w:r>
      <w:r w:rsidRPr="00C14D55">
        <w:rPr>
          <w:i/>
          <w:lang w:val="en-AU"/>
        </w:rPr>
        <w:t>Copyright Act 1968</w:t>
      </w:r>
      <w:r w:rsidRPr="00C14D55">
        <w:rPr>
          <w:lang w:val="en-AU"/>
        </w:rPr>
        <w:t xml:space="preserve"> or by permission from the VCAA. Excepting third-party elements, schools may use this resource in accordance with the </w:t>
      </w:r>
      <w:hyperlink r:id="rId12" w:history="1">
        <w:r w:rsidRPr="00C14D55">
          <w:rPr>
            <w:rStyle w:val="Hyperlink"/>
            <w:lang w:val="en-AU"/>
          </w:rPr>
          <w:t>VCAA educational allowance</w:t>
        </w:r>
      </w:hyperlink>
      <w:r w:rsidRPr="00C14D55">
        <w:rPr>
          <w:lang w:val="en-AU"/>
        </w:rPr>
        <w:t xml:space="preserve">. For more information </w:t>
      </w:r>
      <w:r w:rsidR="00C14125" w:rsidRPr="00C14D55">
        <w:rPr>
          <w:lang w:val="en-AU"/>
        </w:rPr>
        <w:t xml:space="preserve">read the </w:t>
      </w:r>
      <w:hyperlink r:id="rId13" w:history="1">
        <w:r w:rsidR="00C14125" w:rsidRPr="00C14D55">
          <w:rPr>
            <w:rStyle w:val="Hyperlink"/>
            <w:lang w:val="en-AU"/>
          </w:rPr>
          <w:t>VCAA copyright policy</w:t>
        </w:r>
      </w:hyperlink>
      <w:r w:rsidR="00C14125" w:rsidRPr="00C14D55">
        <w:rPr>
          <w:lang w:val="en-AU"/>
        </w:rPr>
        <w:t>.</w:t>
      </w:r>
    </w:p>
    <w:p w14:paraId="08E8F68D" w14:textId="35A9B5E9" w:rsidR="00A6294B" w:rsidRPr="00C14D55" w:rsidRDefault="00A6294B" w:rsidP="00A6294B">
      <w:pPr>
        <w:pStyle w:val="VCAAtrademarkinfo"/>
        <w:rPr>
          <w:lang w:val="en-AU"/>
        </w:rPr>
      </w:pPr>
      <w:r w:rsidRPr="00C14D55">
        <w:rPr>
          <w:lang w:val="en-AU"/>
        </w:rPr>
        <w:t xml:space="preserve">The VCAA provides the only official, up-to-date versions of VCAA publications. Details of updates can be found on the </w:t>
      </w:r>
      <w:hyperlink r:id="rId14" w:history="1">
        <w:r w:rsidRPr="00C14D55">
          <w:rPr>
            <w:rStyle w:val="Hyperlink"/>
            <w:lang w:val="en-AU"/>
          </w:rPr>
          <w:t>VCAA website</w:t>
        </w:r>
      </w:hyperlink>
      <w:r w:rsidRPr="00C14D55">
        <w:rPr>
          <w:lang w:val="en-AU"/>
        </w:rPr>
        <w:t>.</w:t>
      </w:r>
    </w:p>
    <w:p w14:paraId="6C473731" w14:textId="5785C354" w:rsidR="00A6294B" w:rsidRPr="00C14D55" w:rsidRDefault="00A6294B" w:rsidP="000C751B">
      <w:pPr>
        <w:pStyle w:val="VCAAtrademarkinfo"/>
        <w:ind w:right="133"/>
        <w:rPr>
          <w:lang w:val="en-AU"/>
        </w:rPr>
      </w:pPr>
      <w:r w:rsidRPr="00C14D55">
        <w:rPr>
          <w:lang w:val="en-AU"/>
        </w:rPr>
        <w:t>This publication may contain copyright material belonging to a third party. Every effort has been made to contact all copyright owners. If you believe that material in this publication is an infringement of your copyright, ple</w:t>
      </w:r>
      <w:r w:rsidR="000B0F4C" w:rsidRPr="00C14D55">
        <w:rPr>
          <w:lang w:val="en-AU"/>
        </w:rPr>
        <w:t xml:space="preserve">ase email the </w:t>
      </w:r>
      <w:hyperlink r:id="rId15" w:history="1">
        <w:r w:rsidR="000B0F4C" w:rsidRPr="00C14D55">
          <w:rPr>
            <w:rStyle w:val="Hyperlink"/>
            <w:lang w:val="en-AU"/>
          </w:rPr>
          <w:t>Copyright Officer</w:t>
        </w:r>
      </w:hyperlink>
      <w:r w:rsidR="000B0F4C" w:rsidRPr="00C14D55">
        <w:rPr>
          <w:lang w:val="en-AU"/>
        </w:rPr>
        <w:t>.</w:t>
      </w:r>
    </w:p>
    <w:p w14:paraId="031D46F2" w14:textId="3391BB51" w:rsidR="00A6294B" w:rsidRPr="00C14D55" w:rsidRDefault="00A6294B" w:rsidP="00A6294B">
      <w:pPr>
        <w:pStyle w:val="VCAAtrademarkinfo"/>
        <w:rPr>
          <w:lang w:val="en-AU"/>
        </w:rPr>
      </w:pPr>
      <w:r w:rsidRPr="00C14D55">
        <w:rPr>
          <w:lang w:val="en-AU"/>
        </w:rPr>
        <w:t>Copyright in materials appearing at any sites linked to this document</w:t>
      </w:r>
      <w:r w:rsidR="007177FE" w:rsidRPr="00C14D55">
        <w:rPr>
          <w:lang w:val="en-AU"/>
        </w:rPr>
        <w:t xml:space="preserve"> rests with the copyright owner(</w:t>
      </w:r>
      <w:r w:rsidRPr="00C14D55">
        <w:rPr>
          <w:lang w:val="en-AU"/>
        </w:rPr>
        <w:t>s</w:t>
      </w:r>
      <w:r w:rsidR="007177FE" w:rsidRPr="00C14D55">
        <w:rPr>
          <w:lang w:val="en-AU"/>
        </w:rPr>
        <w:t>)</w:t>
      </w:r>
      <w:r w:rsidRPr="00C14D55">
        <w:rPr>
          <w:lang w:val="en-AU"/>
        </w:rPr>
        <w:t xml:space="preserve"> of those materials, subject to the Copyright Act. The VCAA recommends you refer to copyright statements at linked sites before using such materials.</w:t>
      </w:r>
    </w:p>
    <w:p w14:paraId="15375402" w14:textId="64C705D3" w:rsidR="00A6294B" w:rsidRPr="00C14D55" w:rsidRDefault="00C14125" w:rsidP="00A6294B">
      <w:pPr>
        <w:pStyle w:val="VCAAtrademarkinfo"/>
        <w:rPr>
          <w:lang w:val="en-AU"/>
        </w:rPr>
      </w:pPr>
      <w:r w:rsidRPr="00C14D55">
        <w:rPr>
          <w:lang w:val="en-AU"/>
        </w:rPr>
        <w:t>VCE and t</w:t>
      </w:r>
      <w:r w:rsidR="00A6294B" w:rsidRPr="00C14D55">
        <w:rPr>
          <w:lang w:val="en-AU"/>
        </w:rPr>
        <w:t xml:space="preserve">he VCAA logo </w:t>
      </w:r>
      <w:r w:rsidRPr="00C14D55">
        <w:rPr>
          <w:lang w:val="en-AU"/>
        </w:rPr>
        <w:t>are</w:t>
      </w:r>
      <w:r w:rsidR="00A6294B" w:rsidRPr="00C14D55">
        <w:rPr>
          <w:lang w:val="en-AU"/>
        </w:rPr>
        <w:t xml:space="preserve"> registered trademark</w:t>
      </w:r>
      <w:r w:rsidRPr="00C14D55">
        <w:rPr>
          <w:lang w:val="en-AU"/>
        </w:rPr>
        <w:t>s</w:t>
      </w:r>
      <w:r w:rsidR="00A6294B" w:rsidRPr="00C14D55">
        <w:rPr>
          <w:lang w:val="en-AU"/>
        </w:rPr>
        <w:t xml:space="preserve"> of the Victorian Curriculum and Assessment Authority.</w:t>
      </w:r>
    </w:p>
    <w:p w14:paraId="069E9D02" w14:textId="77777777" w:rsidR="00A6294B" w:rsidRPr="00C14D55" w:rsidRDefault="00A6294B" w:rsidP="00A6294B">
      <w:pPr>
        <w:pStyle w:val="VCAAtrademarkinfo"/>
        <w:rPr>
          <w:lang w:val="en-AU"/>
        </w:rPr>
      </w:pPr>
    </w:p>
    <w:tbl>
      <w:tblPr>
        <w:tblStyle w:val="TableGrid"/>
        <w:tblW w:w="0" w:type="auto"/>
        <w:tblLook w:val="04A0" w:firstRow="1" w:lastRow="0" w:firstColumn="1" w:lastColumn="0" w:noHBand="0" w:noVBand="1"/>
      </w:tblPr>
      <w:tblGrid>
        <w:gridCol w:w="9855"/>
      </w:tblGrid>
      <w:tr w:rsidR="00A6294B" w:rsidRPr="00C14D55" w14:paraId="3787202A" w14:textId="77777777" w:rsidTr="005A3151">
        <w:trPr>
          <w:trHeight w:val="794"/>
        </w:trPr>
        <w:tc>
          <w:tcPr>
            <w:tcW w:w="9855" w:type="dxa"/>
          </w:tcPr>
          <w:p w14:paraId="0DFA1CC3" w14:textId="490727DA" w:rsidR="00A6294B" w:rsidRPr="00C14D55" w:rsidRDefault="00A6294B" w:rsidP="005A3151">
            <w:pPr>
              <w:pStyle w:val="VCAAtrademarkinfo"/>
              <w:rPr>
                <w:lang w:val="en-AU"/>
              </w:rPr>
            </w:pPr>
            <w:r w:rsidRPr="00C14D55">
              <w:rPr>
                <w:lang w:val="en-AU"/>
              </w:rPr>
              <w:t>Contact us if you need this info</w:t>
            </w:r>
            <w:r w:rsidR="006E3667" w:rsidRPr="00C14D55">
              <w:rPr>
                <w:lang w:val="en-AU"/>
              </w:rPr>
              <w:t>rmation in an accessible format:</w:t>
            </w:r>
            <w:r w:rsidRPr="00C14D55">
              <w:rPr>
                <w:lang w:val="en-AU"/>
              </w:rPr>
              <w:t xml:space="preserve"> for example, large print or audio.</w:t>
            </w:r>
          </w:p>
          <w:p w14:paraId="4F2E1FCF" w14:textId="1CEE77E9" w:rsidR="00A6294B" w:rsidRPr="00C14D55" w:rsidRDefault="00A6294B" w:rsidP="005A3151">
            <w:pPr>
              <w:pStyle w:val="VCAAtrademarkinfo"/>
              <w:rPr>
                <w:lang w:val="en-AU"/>
              </w:rPr>
            </w:pPr>
            <w:r w:rsidRPr="00C14D55">
              <w:rPr>
                <w:lang w:val="en-AU"/>
              </w:rPr>
              <w:t xml:space="preserve">Telephone (03) 9032 1635 or email </w:t>
            </w:r>
            <w:hyperlink r:id="rId16" w:history="1">
              <w:r w:rsidR="005A3151" w:rsidRPr="00C14D55">
                <w:rPr>
                  <w:rStyle w:val="Hyperlink"/>
                  <w:lang w:val="en-AU"/>
                </w:rPr>
                <w:t>vcaa.media.publications@education.vic.gov.au</w:t>
              </w:r>
            </w:hyperlink>
          </w:p>
        </w:tc>
      </w:tr>
    </w:tbl>
    <w:p w14:paraId="4C408022" w14:textId="5C911B29" w:rsidR="00606845" w:rsidRPr="00C14D55" w:rsidRDefault="00606845" w:rsidP="00606845">
      <w:pPr>
        <w:rPr>
          <w:color w:val="0F7EB4"/>
          <w:sz w:val="48"/>
        </w:rPr>
      </w:pPr>
      <w:r w:rsidRPr="00C14D55">
        <w:rPr>
          <w:color w:val="0F7EB4"/>
          <w:sz w:val="48"/>
        </w:rPr>
        <w:lastRenderedPageBreak/>
        <w:t>Contents</w:t>
      </w:r>
    </w:p>
    <w:p w14:paraId="42E05B74" w14:textId="5FC3830E" w:rsidR="000171F4" w:rsidRDefault="00606845">
      <w:pPr>
        <w:pStyle w:val="TOC1"/>
        <w:rPr>
          <w:rFonts w:asciiTheme="minorHAnsi" w:eastAsiaTheme="minorEastAsia" w:hAnsiTheme="minorHAnsi" w:cstheme="minorBidi"/>
          <w:b w:val="0"/>
          <w:bCs w:val="0"/>
          <w:kern w:val="2"/>
          <w:sz w:val="22"/>
          <w:szCs w:val="22"/>
          <w14:ligatures w14:val="standardContextual"/>
        </w:rPr>
      </w:pPr>
      <w:r w:rsidRPr="00C14D55">
        <w:rPr>
          <w:sz w:val="24"/>
        </w:rPr>
        <w:fldChar w:fldCharType="begin"/>
      </w:r>
      <w:r w:rsidRPr="00C14D55">
        <w:instrText xml:space="preserve"> TOC \h \z \t "VCAA Heading 1,1,VCAA Heading 2,2,VCAA Heading 3,3" </w:instrText>
      </w:r>
      <w:r w:rsidRPr="00C14D55">
        <w:rPr>
          <w:sz w:val="24"/>
        </w:rPr>
        <w:fldChar w:fldCharType="separate"/>
      </w:r>
      <w:hyperlink w:anchor="_Toc159241216" w:history="1">
        <w:r w:rsidR="000171F4" w:rsidRPr="00E35EE7">
          <w:rPr>
            <w:rStyle w:val="Hyperlink"/>
          </w:rPr>
          <w:t>Important information</w:t>
        </w:r>
        <w:r w:rsidR="000171F4">
          <w:rPr>
            <w:webHidden/>
          </w:rPr>
          <w:tab/>
        </w:r>
        <w:r w:rsidR="000171F4">
          <w:rPr>
            <w:webHidden/>
          </w:rPr>
          <w:fldChar w:fldCharType="begin"/>
        </w:r>
        <w:r w:rsidR="000171F4">
          <w:rPr>
            <w:webHidden/>
          </w:rPr>
          <w:instrText xml:space="preserve"> PAGEREF _Toc159241216 \h </w:instrText>
        </w:r>
        <w:r w:rsidR="000171F4">
          <w:rPr>
            <w:webHidden/>
          </w:rPr>
        </w:r>
        <w:r w:rsidR="000171F4">
          <w:rPr>
            <w:webHidden/>
          </w:rPr>
          <w:fldChar w:fldCharType="separate"/>
        </w:r>
        <w:r w:rsidR="00B17BA2">
          <w:rPr>
            <w:webHidden/>
          </w:rPr>
          <w:t>5</w:t>
        </w:r>
        <w:r w:rsidR="000171F4">
          <w:rPr>
            <w:webHidden/>
          </w:rPr>
          <w:fldChar w:fldCharType="end"/>
        </w:r>
      </w:hyperlink>
    </w:p>
    <w:p w14:paraId="3421576B" w14:textId="7C26420A" w:rsidR="000171F4" w:rsidRDefault="006527C9">
      <w:pPr>
        <w:pStyle w:val="TOC2"/>
        <w:rPr>
          <w:rFonts w:asciiTheme="minorHAnsi" w:eastAsiaTheme="minorEastAsia" w:hAnsiTheme="minorHAnsi" w:cstheme="minorBidi"/>
          <w:kern w:val="2"/>
          <w:sz w:val="22"/>
          <w:szCs w:val="22"/>
          <w14:ligatures w14:val="standardContextual"/>
        </w:rPr>
      </w:pPr>
      <w:hyperlink w:anchor="_Toc159241217" w:history="1">
        <w:r w:rsidR="000171F4" w:rsidRPr="00E35EE7">
          <w:rPr>
            <w:rStyle w:val="Hyperlink"/>
          </w:rPr>
          <w:t>Accreditation period</w:t>
        </w:r>
        <w:r w:rsidR="000171F4">
          <w:rPr>
            <w:webHidden/>
          </w:rPr>
          <w:tab/>
        </w:r>
        <w:r w:rsidR="000171F4">
          <w:rPr>
            <w:webHidden/>
          </w:rPr>
          <w:fldChar w:fldCharType="begin"/>
        </w:r>
        <w:r w:rsidR="000171F4">
          <w:rPr>
            <w:webHidden/>
          </w:rPr>
          <w:instrText xml:space="preserve"> PAGEREF _Toc159241217 \h </w:instrText>
        </w:r>
        <w:r w:rsidR="000171F4">
          <w:rPr>
            <w:webHidden/>
          </w:rPr>
        </w:r>
        <w:r w:rsidR="000171F4">
          <w:rPr>
            <w:webHidden/>
          </w:rPr>
          <w:fldChar w:fldCharType="separate"/>
        </w:r>
        <w:r w:rsidR="00B17BA2">
          <w:rPr>
            <w:webHidden/>
          </w:rPr>
          <w:t>5</w:t>
        </w:r>
        <w:r w:rsidR="000171F4">
          <w:rPr>
            <w:webHidden/>
          </w:rPr>
          <w:fldChar w:fldCharType="end"/>
        </w:r>
      </w:hyperlink>
    </w:p>
    <w:p w14:paraId="7E237B62" w14:textId="53EEBB89" w:rsidR="000171F4" w:rsidRDefault="006527C9">
      <w:pPr>
        <w:pStyle w:val="TOC2"/>
        <w:rPr>
          <w:rFonts w:asciiTheme="minorHAnsi" w:eastAsiaTheme="minorEastAsia" w:hAnsiTheme="minorHAnsi" w:cstheme="minorBidi"/>
          <w:kern w:val="2"/>
          <w:sz w:val="22"/>
          <w:szCs w:val="22"/>
          <w14:ligatures w14:val="standardContextual"/>
        </w:rPr>
      </w:pPr>
      <w:hyperlink w:anchor="_Toc159241218" w:history="1">
        <w:r w:rsidR="000171F4" w:rsidRPr="00E35EE7">
          <w:rPr>
            <w:rStyle w:val="Hyperlink"/>
          </w:rPr>
          <w:t>Other sources of information</w:t>
        </w:r>
        <w:r w:rsidR="000171F4">
          <w:rPr>
            <w:webHidden/>
          </w:rPr>
          <w:tab/>
        </w:r>
        <w:r w:rsidR="000171F4">
          <w:rPr>
            <w:webHidden/>
          </w:rPr>
          <w:fldChar w:fldCharType="begin"/>
        </w:r>
        <w:r w:rsidR="000171F4">
          <w:rPr>
            <w:webHidden/>
          </w:rPr>
          <w:instrText xml:space="preserve"> PAGEREF _Toc159241218 \h </w:instrText>
        </w:r>
        <w:r w:rsidR="000171F4">
          <w:rPr>
            <w:webHidden/>
          </w:rPr>
        </w:r>
        <w:r w:rsidR="000171F4">
          <w:rPr>
            <w:webHidden/>
          </w:rPr>
          <w:fldChar w:fldCharType="separate"/>
        </w:r>
        <w:r w:rsidR="00B17BA2">
          <w:rPr>
            <w:webHidden/>
          </w:rPr>
          <w:t>5</w:t>
        </w:r>
        <w:r w:rsidR="000171F4">
          <w:rPr>
            <w:webHidden/>
          </w:rPr>
          <w:fldChar w:fldCharType="end"/>
        </w:r>
      </w:hyperlink>
    </w:p>
    <w:p w14:paraId="324164CD" w14:textId="0EE02C46" w:rsidR="000171F4" w:rsidRDefault="006527C9">
      <w:pPr>
        <w:pStyle w:val="TOC2"/>
        <w:rPr>
          <w:rFonts w:asciiTheme="minorHAnsi" w:eastAsiaTheme="minorEastAsia" w:hAnsiTheme="minorHAnsi" w:cstheme="minorBidi"/>
          <w:kern w:val="2"/>
          <w:sz w:val="22"/>
          <w:szCs w:val="22"/>
          <w14:ligatures w14:val="standardContextual"/>
        </w:rPr>
      </w:pPr>
      <w:hyperlink w:anchor="_Toc159241219" w:history="1">
        <w:r w:rsidR="000171F4" w:rsidRPr="00E35EE7">
          <w:rPr>
            <w:rStyle w:val="Hyperlink"/>
          </w:rPr>
          <w:t>VCE providers</w:t>
        </w:r>
        <w:r w:rsidR="000171F4">
          <w:rPr>
            <w:webHidden/>
          </w:rPr>
          <w:tab/>
        </w:r>
        <w:r w:rsidR="000171F4">
          <w:rPr>
            <w:webHidden/>
          </w:rPr>
          <w:fldChar w:fldCharType="begin"/>
        </w:r>
        <w:r w:rsidR="000171F4">
          <w:rPr>
            <w:webHidden/>
          </w:rPr>
          <w:instrText xml:space="preserve"> PAGEREF _Toc159241219 \h </w:instrText>
        </w:r>
        <w:r w:rsidR="000171F4">
          <w:rPr>
            <w:webHidden/>
          </w:rPr>
        </w:r>
        <w:r w:rsidR="000171F4">
          <w:rPr>
            <w:webHidden/>
          </w:rPr>
          <w:fldChar w:fldCharType="separate"/>
        </w:r>
        <w:r w:rsidR="00B17BA2">
          <w:rPr>
            <w:webHidden/>
          </w:rPr>
          <w:t>5</w:t>
        </w:r>
        <w:r w:rsidR="000171F4">
          <w:rPr>
            <w:webHidden/>
          </w:rPr>
          <w:fldChar w:fldCharType="end"/>
        </w:r>
      </w:hyperlink>
    </w:p>
    <w:p w14:paraId="11C4CC3D" w14:textId="5D7EE9E6" w:rsidR="000171F4" w:rsidRDefault="006527C9">
      <w:pPr>
        <w:pStyle w:val="TOC2"/>
        <w:rPr>
          <w:rFonts w:asciiTheme="minorHAnsi" w:eastAsiaTheme="minorEastAsia" w:hAnsiTheme="minorHAnsi" w:cstheme="minorBidi"/>
          <w:kern w:val="2"/>
          <w:sz w:val="22"/>
          <w:szCs w:val="22"/>
          <w14:ligatures w14:val="standardContextual"/>
        </w:rPr>
      </w:pPr>
      <w:hyperlink w:anchor="_Toc159241220" w:history="1">
        <w:r w:rsidR="000171F4" w:rsidRPr="00E35EE7">
          <w:rPr>
            <w:rStyle w:val="Hyperlink"/>
          </w:rPr>
          <w:t>Copyright</w:t>
        </w:r>
        <w:r w:rsidR="000171F4">
          <w:rPr>
            <w:webHidden/>
          </w:rPr>
          <w:tab/>
        </w:r>
        <w:r w:rsidR="000171F4">
          <w:rPr>
            <w:webHidden/>
          </w:rPr>
          <w:fldChar w:fldCharType="begin"/>
        </w:r>
        <w:r w:rsidR="000171F4">
          <w:rPr>
            <w:webHidden/>
          </w:rPr>
          <w:instrText xml:space="preserve"> PAGEREF _Toc159241220 \h </w:instrText>
        </w:r>
        <w:r w:rsidR="000171F4">
          <w:rPr>
            <w:webHidden/>
          </w:rPr>
        </w:r>
        <w:r w:rsidR="000171F4">
          <w:rPr>
            <w:webHidden/>
          </w:rPr>
          <w:fldChar w:fldCharType="separate"/>
        </w:r>
        <w:r w:rsidR="00B17BA2">
          <w:rPr>
            <w:webHidden/>
          </w:rPr>
          <w:t>5</w:t>
        </w:r>
        <w:r w:rsidR="000171F4">
          <w:rPr>
            <w:webHidden/>
          </w:rPr>
          <w:fldChar w:fldCharType="end"/>
        </w:r>
      </w:hyperlink>
    </w:p>
    <w:p w14:paraId="45DC09BD" w14:textId="695E066E" w:rsidR="000171F4" w:rsidRDefault="006527C9">
      <w:pPr>
        <w:pStyle w:val="TOC1"/>
        <w:rPr>
          <w:rFonts w:asciiTheme="minorHAnsi" w:eastAsiaTheme="minorEastAsia" w:hAnsiTheme="minorHAnsi" w:cstheme="minorBidi"/>
          <w:b w:val="0"/>
          <w:bCs w:val="0"/>
          <w:kern w:val="2"/>
          <w:sz w:val="22"/>
          <w:szCs w:val="22"/>
          <w14:ligatures w14:val="standardContextual"/>
        </w:rPr>
      </w:pPr>
      <w:hyperlink w:anchor="_Toc159241221" w:history="1">
        <w:r w:rsidR="000171F4" w:rsidRPr="00E35EE7">
          <w:rPr>
            <w:rStyle w:val="Hyperlink"/>
          </w:rPr>
          <w:t>Introduction</w:t>
        </w:r>
        <w:r w:rsidR="000171F4">
          <w:rPr>
            <w:webHidden/>
          </w:rPr>
          <w:tab/>
        </w:r>
        <w:r w:rsidR="000171F4">
          <w:rPr>
            <w:webHidden/>
          </w:rPr>
          <w:fldChar w:fldCharType="begin"/>
        </w:r>
        <w:r w:rsidR="000171F4">
          <w:rPr>
            <w:webHidden/>
          </w:rPr>
          <w:instrText xml:space="preserve"> PAGEREF _Toc159241221 \h </w:instrText>
        </w:r>
        <w:r w:rsidR="000171F4">
          <w:rPr>
            <w:webHidden/>
          </w:rPr>
        </w:r>
        <w:r w:rsidR="000171F4">
          <w:rPr>
            <w:webHidden/>
          </w:rPr>
          <w:fldChar w:fldCharType="separate"/>
        </w:r>
        <w:r w:rsidR="00B17BA2">
          <w:rPr>
            <w:webHidden/>
          </w:rPr>
          <w:t>6</w:t>
        </w:r>
        <w:r w:rsidR="000171F4">
          <w:rPr>
            <w:webHidden/>
          </w:rPr>
          <w:fldChar w:fldCharType="end"/>
        </w:r>
      </w:hyperlink>
    </w:p>
    <w:p w14:paraId="256E7FBD" w14:textId="753F7921" w:rsidR="000171F4" w:rsidRDefault="006527C9">
      <w:pPr>
        <w:pStyle w:val="TOC2"/>
        <w:rPr>
          <w:rFonts w:asciiTheme="minorHAnsi" w:eastAsiaTheme="minorEastAsia" w:hAnsiTheme="minorHAnsi" w:cstheme="minorBidi"/>
          <w:kern w:val="2"/>
          <w:sz w:val="22"/>
          <w:szCs w:val="22"/>
          <w14:ligatures w14:val="standardContextual"/>
        </w:rPr>
      </w:pPr>
      <w:hyperlink w:anchor="_Toc159241222" w:history="1">
        <w:r w:rsidR="000171F4" w:rsidRPr="00E35EE7">
          <w:rPr>
            <w:rStyle w:val="Hyperlink"/>
          </w:rPr>
          <w:t>Scope of study</w:t>
        </w:r>
        <w:r w:rsidR="000171F4">
          <w:rPr>
            <w:webHidden/>
          </w:rPr>
          <w:tab/>
        </w:r>
        <w:r w:rsidR="000171F4">
          <w:rPr>
            <w:webHidden/>
          </w:rPr>
          <w:fldChar w:fldCharType="begin"/>
        </w:r>
        <w:r w:rsidR="000171F4">
          <w:rPr>
            <w:webHidden/>
          </w:rPr>
          <w:instrText xml:space="preserve"> PAGEREF _Toc159241222 \h </w:instrText>
        </w:r>
        <w:r w:rsidR="000171F4">
          <w:rPr>
            <w:webHidden/>
          </w:rPr>
        </w:r>
        <w:r w:rsidR="000171F4">
          <w:rPr>
            <w:webHidden/>
          </w:rPr>
          <w:fldChar w:fldCharType="separate"/>
        </w:r>
        <w:r w:rsidR="00B17BA2">
          <w:rPr>
            <w:webHidden/>
          </w:rPr>
          <w:t>6</w:t>
        </w:r>
        <w:r w:rsidR="000171F4">
          <w:rPr>
            <w:webHidden/>
          </w:rPr>
          <w:fldChar w:fldCharType="end"/>
        </w:r>
      </w:hyperlink>
    </w:p>
    <w:p w14:paraId="1B27349A" w14:textId="3DFCFFB5" w:rsidR="000171F4" w:rsidRDefault="006527C9">
      <w:pPr>
        <w:pStyle w:val="TOC2"/>
        <w:rPr>
          <w:rFonts w:asciiTheme="minorHAnsi" w:eastAsiaTheme="minorEastAsia" w:hAnsiTheme="minorHAnsi" w:cstheme="minorBidi"/>
          <w:kern w:val="2"/>
          <w:sz w:val="22"/>
          <w:szCs w:val="22"/>
          <w14:ligatures w14:val="standardContextual"/>
        </w:rPr>
      </w:pPr>
      <w:hyperlink w:anchor="_Toc159241223" w:history="1">
        <w:r w:rsidR="000171F4" w:rsidRPr="00E35EE7">
          <w:rPr>
            <w:rStyle w:val="Hyperlink"/>
          </w:rPr>
          <w:t>Rationale</w:t>
        </w:r>
        <w:r w:rsidR="000171F4">
          <w:rPr>
            <w:webHidden/>
          </w:rPr>
          <w:tab/>
        </w:r>
        <w:r w:rsidR="000171F4">
          <w:rPr>
            <w:webHidden/>
          </w:rPr>
          <w:fldChar w:fldCharType="begin"/>
        </w:r>
        <w:r w:rsidR="000171F4">
          <w:rPr>
            <w:webHidden/>
          </w:rPr>
          <w:instrText xml:space="preserve"> PAGEREF _Toc159241223 \h </w:instrText>
        </w:r>
        <w:r w:rsidR="000171F4">
          <w:rPr>
            <w:webHidden/>
          </w:rPr>
        </w:r>
        <w:r w:rsidR="000171F4">
          <w:rPr>
            <w:webHidden/>
          </w:rPr>
          <w:fldChar w:fldCharType="separate"/>
        </w:r>
        <w:r w:rsidR="00B17BA2">
          <w:rPr>
            <w:webHidden/>
          </w:rPr>
          <w:t>6</w:t>
        </w:r>
        <w:r w:rsidR="000171F4">
          <w:rPr>
            <w:webHidden/>
          </w:rPr>
          <w:fldChar w:fldCharType="end"/>
        </w:r>
      </w:hyperlink>
    </w:p>
    <w:p w14:paraId="4A19C199" w14:textId="05481FA0" w:rsidR="000171F4" w:rsidRDefault="006527C9">
      <w:pPr>
        <w:pStyle w:val="TOC2"/>
        <w:rPr>
          <w:rFonts w:asciiTheme="minorHAnsi" w:eastAsiaTheme="minorEastAsia" w:hAnsiTheme="minorHAnsi" w:cstheme="minorBidi"/>
          <w:kern w:val="2"/>
          <w:sz w:val="22"/>
          <w:szCs w:val="22"/>
          <w14:ligatures w14:val="standardContextual"/>
        </w:rPr>
      </w:pPr>
      <w:hyperlink w:anchor="_Toc159241224" w:history="1">
        <w:r w:rsidR="000171F4" w:rsidRPr="00E35EE7">
          <w:rPr>
            <w:rStyle w:val="Hyperlink"/>
          </w:rPr>
          <w:t>Aims</w:t>
        </w:r>
        <w:r w:rsidR="000171F4">
          <w:rPr>
            <w:webHidden/>
          </w:rPr>
          <w:tab/>
        </w:r>
        <w:r w:rsidR="000171F4">
          <w:rPr>
            <w:webHidden/>
          </w:rPr>
          <w:fldChar w:fldCharType="begin"/>
        </w:r>
        <w:r w:rsidR="000171F4">
          <w:rPr>
            <w:webHidden/>
          </w:rPr>
          <w:instrText xml:space="preserve"> PAGEREF _Toc159241224 \h </w:instrText>
        </w:r>
        <w:r w:rsidR="000171F4">
          <w:rPr>
            <w:webHidden/>
          </w:rPr>
        </w:r>
        <w:r w:rsidR="000171F4">
          <w:rPr>
            <w:webHidden/>
          </w:rPr>
          <w:fldChar w:fldCharType="separate"/>
        </w:r>
        <w:r w:rsidR="00B17BA2">
          <w:rPr>
            <w:webHidden/>
          </w:rPr>
          <w:t>7</w:t>
        </w:r>
        <w:r w:rsidR="000171F4">
          <w:rPr>
            <w:webHidden/>
          </w:rPr>
          <w:fldChar w:fldCharType="end"/>
        </w:r>
      </w:hyperlink>
    </w:p>
    <w:p w14:paraId="5924F9A0" w14:textId="5333741A" w:rsidR="000171F4" w:rsidRDefault="006527C9">
      <w:pPr>
        <w:pStyle w:val="TOC2"/>
        <w:rPr>
          <w:rFonts w:asciiTheme="minorHAnsi" w:eastAsiaTheme="minorEastAsia" w:hAnsiTheme="minorHAnsi" w:cstheme="minorBidi"/>
          <w:kern w:val="2"/>
          <w:sz w:val="22"/>
          <w:szCs w:val="22"/>
          <w14:ligatures w14:val="standardContextual"/>
        </w:rPr>
      </w:pPr>
      <w:hyperlink w:anchor="_Toc159241225" w:history="1">
        <w:r w:rsidR="000171F4" w:rsidRPr="00E35EE7">
          <w:rPr>
            <w:rStyle w:val="Hyperlink"/>
          </w:rPr>
          <w:t>Structure</w:t>
        </w:r>
        <w:r w:rsidR="000171F4">
          <w:rPr>
            <w:webHidden/>
          </w:rPr>
          <w:tab/>
        </w:r>
        <w:r w:rsidR="000171F4">
          <w:rPr>
            <w:webHidden/>
          </w:rPr>
          <w:fldChar w:fldCharType="begin"/>
        </w:r>
        <w:r w:rsidR="000171F4">
          <w:rPr>
            <w:webHidden/>
          </w:rPr>
          <w:instrText xml:space="preserve"> PAGEREF _Toc159241225 \h </w:instrText>
        </w:r>
        <w:r w:rsidR="000171F4">
          <w:rPr>
            <w:webHidden/>
          </w:rPr>
        </w:r>
        <w:r w:rsidR="000171F4">
          <w:rPr>
            <w:webHidden/>
          </w:rPr>
          <w:fldChar w:fldCharType="separate"/>
        </w:r>
        <w:r w:rsidR="00B17BA2">
          <w:rPr>
            <w:webHidden/>
          </w:rPr>
          <w:t>7</w:t>
        </w:r>
        <w:r w:rsidR="000171F4">
          <w:rPr>
            <w:webHidden/>
          </w:rPr>
          <w:fldChar w:fldCharType="end"/>
        </w:r>
      </w:hyperlink>
    </w:p>
    <w:p w14:paraId="7A89504E" w14:textId="43D04D6D" w:rsidR="000171F4" w:rsidRDefault="006527C9">
      <w:pPr>
        <w:pStyle w:val="TOC2"/>
        <w:rPr>
          <w:rFonts w:asciiTheme="minorHAnsi" w:eastAsiaTheme="minorEastAsia" w:hAnsiTheme="minorHAnsi" w:cstheme="minorBidi"/>
          <w:kern w:val="2"/>
          <w:sz w:val="22"/>
          <w:szCs w:val="22"/>
          <w14:ligatures w14:val="standardContextual"/>
        </w:rPr>
      </w:pPr>
      <w:hyperlink w:anchor="_Toc159241226" w:history="1">
        <w:r w:rsidR="000171F4" w:rsidRPr="00E35EE7">
          <w:rPr>
            <w:rStyle w:val="Hyperlink"/>
          </w:rPr>
          <w:t>Entry</w:t>
        </w:r>
        <w:r w:rsidR="000171F4">
          <w:rPr>
            <w:webHidden/>
          </w:rPr>
          <w:tab/>
        </w:r>
        <w:r w:rsidR="000171F4">
          <w:rPr>
            <w:webHidden/>
          </w:rPr>
          <w:fldChar w:fldCharType="begin"/>
        </w:r>
        <w:r w:rsidR="000171F4">
          <w:rPr>
            <w:webHidden/>
          </w:rPr>
          <w:instrText xml:space="preserve"> PAGEREF _Toc159241226 \h </w:instrText>
        </w:r>
        <w:r w:rsidR="000171F4">
          <w:rPr>
            <w:webHidden/>
          </w:rPr>
        </w:r>
        <w:r w:rsidR="000171F4">
          <w:rPr>
            <w:webHidden/>
          </w:rPr>
          <w:fldChar w:fldCharType="separate"/>
        </w:r>
        <w:r w:rsidR="00B17BA2">
          <w:rPr>
            <w:webHidden/>
          </w:rPr>
          <w:t>7</w:t>
        </w:r>
        <w:r w:rsidR="000171F4">
          <w:rPr>
            <w:webHidden/>
          </w:rPr>
          <w:fldChar w:fldCharType="end"/>
        </w:r>
      </w:hyperlink>
    </w:p>
    <w:p w14:paraId="00DAB0BC" w14:textId="345A5BB0" w:rsidR="000171F4" w:rsidRDefault="006527C9">
      <w:pPr>
        <w:pStyle w:val="TOC2"/>
        <w:rPr>
          <w:rFonts w:asciiTheme="minorHAnsi" w:eastAsiaTheme="minorEastAsia" w:hAnsiTheme="minorHAnsi" w:cstheme="minorBidi"/>
          <w:kern w:val="2"/>
          <w:sz w:val="22"/>
          <w:szCs w:val="22"/>
          <w14:ligatures w14:val="standardContextual"/>
        </w:rPr>
      </w:pPr>
      <w:hyperlink w:anchor="_Toc159241227" w:history="1">
        <w:r w:rsidR="000171F4" w:rsidRPr="00E35EE7">
          <w:rPr>
            <w:rStyle w:val="Hyperlink"/>
          </w:rPr>
          <w:t>Duration</w:t>
        </w:r>
        <w:r w:rsidR="000171F4">
          <w:rPr>
            <w:webHidden/>
          </w:rPr>
          <w:tab/>
        </w:r>
        <w:r w:rsidR="000171F4">
          <w:rPr>
            <w:webHidden/>
          </w:rPr>
          <w:fldChar w:fldCharType="begin"/>
        </w:r>
        <w:r w:rsidR="000171F4">
          <w:rPr>
            <w:webHidden/>
          </w:rPr>
          <w:instrText xml:space="preserve"> PAGEREF _Toc159241227 \h </w:instrText>
        </w:r>
        <w:r w:rsidR="000171F4">
          <w:rPr>
            <w:webHidden/>
          </w:rPr>
        </w:r>
        <w:r w:rsidR="000171F4">
          <w:rPr>
            <w:webHidden/>
          </w:rPr>
          <w:fldChar w:fldCharType="separate"/>
        </w:r>
        <w:r w:rsidR="00B17BA2">
          <w:rPr>
            <w:webHidden/>
          </w:rPr>
          <w:t>7</w:t>
        </w:r>
        <w:r w:rsidR="000171F4">
          <w:rPr>
            <w:webHidden/>
          </w:rPr>
          <w:fldChar w:fldCharType="end"/>
        </w:r>
      </w:hyperlink>
    </w:p>
    <w:p w14:paraId="60BABB17" w14:textId="138E025E" w:rsidR="000171F4" w:rsidRDefault="006527C9">
      <w:pPr>
        <w:pStyle w:val="TOC2"/>
        <w:rPr>
          <w:rFonts w:asciiTheme="minorHAnsi" w:eastAsiaTheme="minorEastAsia" w:hAnsiTheme="minorHAnsi" w:cstheme="minorBidi"/>
          <w:kern w:val="2"/>
          <w:sz w:val="22"/>
          <w:szCs w:val="22"/>
          <w14:ligatures w14:val="standardContextual"/>
        </w:rPr>
      </w:pPr>
      <w:hyperlink w:anchor="_Toc159241228" w:history="1">
        <w:r w:rsidR="000171F4" w:rsidRPr="00E35EE7">
          <w:rPr>
            <w:rStyle w:val="Hyperlink"/>
          </w:rPr>
          <w:t>Changes to the study design</w:t>
        </w:r>
        <w:r w:rsidR="000171F4">
          <w:rPr>
            <w:webHidden/>
          </w:rPr>
          <w:tab/>
        </w:r>
        <w:r w:rsidR="000171F4">
          <w:rPr>
            <w:webHidden/>
          </w:rPr>
          <w:fldChar w:fldCharType="begin"/>
        </w:r>
        <w:r w:rsidR="000171F4">
          <w:rPr>
            <w:webHidden/>
          </w:rPr>
          <w:instrText xml:space="preserve"> PAGEREF _Toc159241228 \h </w:instrText>
        </w:r>
        <w:r w:rsidR="000171F4">
          <w:rPr>
            <w:webHidden/>
          </w:rPr>
        </w:r>
        <w:r w:rsidR="000171F4">
          <w:rPr>
            <w:webHidden/>
          </w:rPr>
          <w:fldChar w:fldCharType="separate"/>
        </w:r>
        <w:r w:rsidR="00B17BA2">
          <w:rPr>
            <w:webHidden/>
          </w:rPr>
          <w:t>8</w:t>
        </w:r>
        <w:r w:rsidR="000171F4">
          <w:rPr>
            <w:webHidden/>
          </w:rPr>
          <w:fldChar w:fldCharType="end"/>
        </w:r>
      </w:hyperlink>
    </w:p>
    <w:p w14:paraId="76A8544B" w14:textId="0BE7212D" w:rsidR="000171F4" w:rsidRDefault="006527C9">
      <w:pPr>
        <w:pStyle w:val="TOC2"/>
        <w:rPr>
          <w:rFonts w:asciiTheme="minorHAnsi" w:eastAsiaTheme="minorEastAsia" w:hAnsiTheme="minorHAnsi" w:cstheme="minorBidi"/>
          <w:kern w:val="2"/>
          <w:sz w:val="22"/>
          <w:szCs w:val="22"/>
          <w14:ligatures w14:val="standardContextual"/>
        </w:rPr>
      </w:pPr>
      <w:hyperlink w:anchor="_Toc159241229" w:history="1">
        <w:r w:rsidR="000171F4" w:rsidRPr="00E35EE7">
          <w:rPr>
            <w:rStyle w:val="Hyperlink"/>
          </w:rPr>
          <w:t>Monitoring for quality</w:t>
        </w:r>
        <w:r w:rsidR="000171F4">
          <w:rPr>
            <w:webHidden/>
          </w:rPr>
          <w:tab/>
        </w:r>
        <w:r w:rsidR="000171F4">
          <w:rPr>
            <w:webHidden/>
          </w:rPr>
          <w:fldChar w:fldCharType="begin"/>
        </w:r>
        <w:r w:rsidR="000171F4">
          <w:rPr>
            <w:webHidden/>
          </w:rPr>
          <w:instrText xml:space="preserve"> PAGEREF _Toc159241229 \h </w:instrText>
        </w:r>
        <w:r w:rsidR="000171F4">
          <w:rPr>
            <w:webHidden/>
          </w:rPr>
        </w:r>
        <w:r w:rsidR="000171F4">
          <w:rPr>
            <w:webHidden/>
          </w:rPr>
          <w:fldChar w:fldCharType="separate"/>
        </w:r>
        <w:r w:rsidR="00B17BA2">
          <w:rPr>
            <w:webHidden/>
          </w:rPr>
          <w:t>8</w:t>
        </w:r>
        <w:r w:rsidR="000171F4">
          <w:rPr>
            <w:webHidden/>
          </w:rPr>
          <w:fldChar w:fldCharType="end"/>
        </w:r>
      </w:hyperlink>
    </w:p>
    <w:p w14:paraId="32B6BEFA" w14:textId="1364D560" w:rsidR="000171F4" w:rsidRDefault="006527C9">
      <w:pPr>
        <w:pStyle w:val="TOC2"/>
        <w:rPr>
          <w:rFonts w:asciiTheme="minorHAnsi" w:eastAsiaTheme="minorEastAsia" w:hAnsiTheme="minorHAnsi" w:cstheme="minorBidi"/>
          <w:kern w:val="2"/>
          <w:sz w:val="22"/>
          <w:szCs w:val="22"/>
          <w14:ligatures w14:val="standardContextual"/>
        </w:rPr>
      </w:pPr>
      <w:hyperlink w:anchor="_Toc159241230" w:history="1">
        <w:r w:rsidR="000171F4" w:rsidRPr="00E35EE7">
          <w:rPr>
            <w:rStyle w:val="Hyperlink"/>
          </w:rPr>
          <w:t>Safety and wellbeing</w:t>
        </w:r>
        <w:r w:rsidR="000171F4">
          <w:rPr>
            <w:webHidden/>
          </w:rPr>
          <w:tab/>
        </w:r>
        <w:r w:rsidR="000171F4">
          <w:rPr>
            <w:webHidden/>
          </w:rPr>
          <w:fldChar w:fldCharType="begin"/>
        </w:r>
        <w:r w:rsidR="000171F4">
          <w:rPr>
            <w:webHidden/>
          </w:rPr>
          <w:instrText xml:space="preserve"> PAGEREF _Toc159241230 \h </w:instrText>
        </w:r>
        <w:r w:rsidR="000171F4">
          <w:rPr>
            <w:webHidden/>
          </w:rPr>
        </w:r>
        <w:r w:rsidR="000171F4">
          <w:rPr>
            <w:webHidden/>
          </w:rPr>
          <w:fldChar w:fldCharType="separate"/>
        </w:r>
        <w:r w:rsidR="00B17BA2">
          <w:rPr>
            <w:webHidden/>
          </w:rPr>
          <w:t>8</w:t>
        </w:r>
        <w:r w:rsidR="000171F4">
          <w:rPr>
            <w:webHidden/>
          </w:rPr>
          <w:fldChar w:fldCharType="end"/>
        </w:r>
      </w:hyperlink>
    </w:p>
    <w:p w14:paraId="27C94EDE" w14:textId="2A2E5ED0" w:rsidR="000171F4" w:rsidRDefault="006527C9">
      <w:pPr>
        <w:pStyle w:val="TOC2"/>
        <w:rPr>
          <w:rFonts w:asciiTheme="minorHAnsi" w:eastAsiaTheme="minorEastAsia" w:hAnsiTheme="minorHAnsi" w:cstheme="minorBidi"/>
          <w:kern w:val="2"/>
          <w:sz w:val="22"/>
          <w:szCs w:val="22"/>
          <w14:ligatures w14:val="standardContextual"/>
        </w:rPr>
      </w:pPr>
      <w:hyperlink w:anchor="_Toc159241231" w:history="1">
        <w:r w:rsidR="000171F4" w:rsidRPr="00E35EE7">
          <w:rPr>
            <w:rStyle w:val="Hyperlink"/>
          </w:rPr>
          <w:t>Requirements for delivery</w:t>
        </w:r>
        <w:r w:rsidR="000171F4">
          <w:rPr>
            <w:webHidden/>
          </w:rPr>
          <w:tab/>
        </w:r>
        <w:r w:rsidR="000171F4">
          <w:rPr>
            <w:webHidden/>
          </w:rPr>
          <w:fldChar w:fldCharType="begin"/>
        </w:r>
        <w:r w:rsidR="000171F4">
          <w:rPr>
            <w:webHidden/>
          </w:rPr>
          <w:instrText xml:space="preserve"> PAGEREF _Toc159241231 \h </w:instrText>
        </w:r>
        <w:r w:rsidR="000171F4">
          <w:rPr>
            <w:webHidden/>
          </w:rPr>
        </w:r>
        <w:r w:rsidR="000171F4">
          <w:rPr>
            <w:webHidden/>
          </w:rPr>
          <w:fldChar w:fldCharType="separate"/>
        </w:r>
        <w:r w:rsidR="00B17BA2">
          <w:rPr>
            <w:webHidden/>
          </w:rPr>
          <w:t>8</w:t>
        </w:r>
        <w:r w:rsidR="000171F4">
          <w:rPr>
            <w:webHidden/>
          </w:rPr>
          <w:fldChar w:fldCharType="end"/>
        </w:r>
      </w:hyperlink>
    </w:p>
    <w:p w14:paraId="70E37083" w14:textId="280CCA2E" w:rsidR="000171F4" w:rsidRDefault="006527C9">
      <w:pPr>
        <w:pStyle w:val="TOC2"/>
        <w:rPr>
          <w:rFonts w:asciiTheme="minorHAnsi" w:eastAsiaTheme="minorEastAsia" w:hAnsiTheme="minorHAnsi" w:cstheme="minorBidi"/>
          <w:kern w:val="2"/>
          <w:sz w:val="22"/>
          <w:szCs w:val="22"/>
          <w14:ligatures w14:val="standardContextual"/>
        </w:rPr>
      </w:pPr>
      <w:hyperlink w:anchor="_Toc159241232" w:history="1">
        <w:r w:rsidR="000171F4" w:rsidRPr="00E35EE7">
          <w:rPr>
            <w:rStyle w:val="Hyperlink"/>
          </w:rPr>
          <w:t>Employability skills</w:t>
        </w:r>
        <w:r w:rsidR="000171F4">
          <w:rPr>
            <w:webHidden/>
          </w:rPr>
          <w:tab/>
        </w:r>
        <w:r w:rsidR="000171F4">
          <w:rPr>
            <w:webHidden/>
          </w:rPr>
          <w:fldChar w:fldCharType="begin"/>
        </w:r>
        <w:r w:rsidR="000171F4">
          <w:rPr>
            <w:webHidden/>
          </w:rPr>
          <w:instrText xml:space="preserve"> PAGEREF _Toc159241232 \h </w:instrText>
        </w:r>
        <w:r w:rsidR="000171F4">
          <w:rPr>
            <w:webHidden/>
          </w:rPr>
        </w:r>
        <w:r w:rsidR="000171F4">
          <w:rPr>
            <w:webHidden/>
          </w:rPr>
          <w:fldChar w:fldCharType="separate"/>
        </w:r>
        <w:r w:rsidR="00B17BA2">
          <w:rPr>
            <w:webHidden/>
          </w:rPr>
          <w:t>8</w:t>
        </w:r>
        <w:r w:rsidR="000171F4">
          <w:rPr>
            <w:webHidden/>
          </w:rPr>
          <w:fldChar w:fldCharType="end"/>
        </w:r>
      </w:hyperlink>
    </w:p>
    <w:p w14:paraId="606057EF" w14:textId="0F081EBA" w:rsidR="000171F4" w:rsidRDefault="006527C9">
      <w:pPr>
        <w:pStyle w:val="TOC2"/>
        <w:rPr>
          <w:rFonts w:asciiTheme="minorHAnsi" w:eastAsiaTheme="minorEastAsia" w:hAnsiTheme="minorHAnsi" w:cstheme="minorBidi"/>
          <w:kern w:val="2"/>
          <w:sz w:val="22"/>
          <w:szCs w:val="22"/>
          <w14:ligatures w14:val="standardContextual"/>
        </w:rPr>
      </w:pPr>
      <w:hyperlink w:anchor="_Toc159241233" w:history="1">
        <w:r w:rsidR="000171F4" w:rsidRPr="00E35EE7">
          <w:rPr>
            <w:rStyle w:val="Hyperlink"/>
          </w:rPr>
          <w:t>Legislative compliance</w:t>
        </w:r>
        <w:r w:rsidR="000171F4">
          <w:rPr>
            <w:webHidden/>
          </w:rPr>
          <w:tab/>
        </w:r>
        <w:r w:rsidR="000171F4">
          <w:rPr>
            <w:webHidden/>
          </w:rPr>
          <w:fldChar w:fldCharType="begin"/>
        </w:r>
        <w:r w:rsidR="000171F4">
          <w:rPr>
            <w:webHidden/>
          </w:rPr>
          <w:instrText xml:space="preserve"> PAGEREF _Toc159241233 \h </w:instrText>
        </w:r>
        <w:r w:rsidR="000171F4">
          <w:rPr>
            <w:webHidden/>
          </w:rPr>
        </w:r>
        <w:r w:rsidR="000171F4">
          <w:rPr>
            <w:webHidden/>
          </w:rPr>
          <w:fldChar w:fldCharType="separate"/>
        </w:r>
        <w:r w:rsidR="00B17BA2">
          <w:rPr>
            <w:webHidden/>
          </w:rPr>
          <w:t>8</w:t>
        </w:r>
        <w:r w:rsidR="000171F4">
          <w:rPr>
            <w:webHidden/>
          </w:rPr>
          <w:fldChar w:fldCharType="end"/>
        </w:r>
      </w:hyperlink>
    </w:p>
    <w:p w14:paraId="6B1A5FE3" w14:textId="1FF0D878" w:rsidR="000171F4" w:rsidRDefault="006527C9">
      <w:pPr>
        <w:pStyle w:val="TOC2"/>
        <w:rPr>
          <w:rFonts w:asciiTheme="minorHAnsi" w:eastAsiaTheme="minorEastAsia" w:hAnsiTheme="minorHAnsi" w:cstheme="minorBidi"/>
          <w:kern w:val="2"/>
          <w:sz w:val="22"/>
          <w:szCs w:val="22"/>
          <w14:ligatures w14:val="standardContextual"/>
        </w:rPr>
      </w:pPr>
      <w:hyperlink w:anchor="_Toc159241234" w:history="1">
        <w:r w:rsidR="000171F4" w:rsidRPr="00E35EE7">
          <w:rPr>
            <w:rStyle w:val="Hyperlink"/>
          </w:rPr>
          <w:t>Child Safe Standards</w:t>
        </w:r>
        <w:r w:rsidR="000171F4">
          <w:rPr>
            <w:webHidden/>
          </w:rPr>
          <w:tab/>
        </w:r>
        <w:r w:rsidR="000171F4">
          <w:rPr>
            <w:webHidden/>
          </w:rPr>
          <w:fldChar w:fldCharType="begin"/>
        </w:r>
        <w:r w:rsidR="000171F4">
          <w:rPr>
            <w:webHidden/>
          </w:rPr>
          <w:instrText xml:space="preserve"> PAGEREF _Toc159241234 \h </w:instrText>
        </w:r>
        <w:r w:rsidR="000171F4">
          <w:rPr>
            <w:webHidden/>
          </w:rPr>
        </w:r>
        <w:r w:rsidR="000171F4">
          <w:rPr>
            <w:webHidden/>
          </w:rPr>
          <w:fldChar w:fldCharType="separate"/>
        </w:r>
        <w:r w:rsidR="00B17BA2">
          <w:rPr>
            <w:webHidden/>
          </w:rPr>
          <w:t>9</w:t>
        </w:r>
        <w:r w:rsidR="000171F4">
          <w:rPr>
            <w:webHidden/>
          </w:rPr>
          <w:fldChar w:fldCharType="end"/>
        </w:r>
      </w:hyperlink>
    </w:p>
    <w:p w14:paraId="6DDD6F2A" w14:textId="04A2EF24" w:rsidR="000171F4" w:rsidRDefault="006527C9">
      <w:pPr>
        <w:pStyle w:val="TOC1"/>
        <w:rPr>
          <w:rFonts w:asciiTheme="minorHAnsi" w:eastAsiaTheme="minorEastAsia" w:hAnsiTheme="minorHAnsi" w:cstheme="minorBidi"/>
          <w:b w:val="0"/>
          <w:bCs w:val="0"/>
          <w:kern w:val="2"/>
          <w:sz w:val="22"/>
          <w:szCs w:val="22"/>
          <w14:ligatures w14:val="standardContextual"/>
        </w:rPr>
      </w:pPr>
      <w:hyperlink w:anchor="_Toc159241235" w:history="1">
        <w:r w:rsidR="000171F4" w:rsidRPr="00E35EE7">
          <w:rPr>
            <w:rStyle w:val="Hyperlink"/>
          </w:rPr>
          <w:t>Assessment and reporting</w:t>
        </w:r>
        <w:r w:rsidR="000171F4">
          <w:rPr>
            <w:webHidden/>
          </w:rPr>
          <w:tab/>
        </w:r>
        <w:r w:rsidR="000171F4">
          <w:rPr>
            <w:webHidden/>
          </w:rPr>
          <w:fldChar w:fldCharType="begin"/>
        </w:r>
        <w:r w:rsidR="000171F4">
          <w:rPr>
            <w:webHidden/>
          </w:rPr>
          <w:instrText xml:space="preserve"> PAGEREF _Toc159241235 \h </w:instrText>
        </w:r>
        <w:r w:rsidR="000171F4">
          <w:rPr>
            <w:webHidden/>
          </w:rPr>
        </w:r>
        <w:r w:rsidR="000171F4">
          <w:rPr>
            <w:webHidden/>
          </w:rPr>
          <w:fldChar w:fldCharType="separate"/>
        </w:r>
        <w:r w:rsidR="00B17BA2">
          <w:rPr>
            <w:webHidden/>
          </w:rPr>
          <w:t>10</w:t>
        </w:r>
        <w:r w:rsidR="000171F4">
          <w:rPr>
            <w:webHidden/>
          </w:rPr>
          <w:fldChar w:fldCharType="end"/>
        </w:r>
      </w:hyperlink>
    </w:p>
    <w:p w14:paraId="62FE8715" w14:textId="5C69E98A" w:rsidR="000171F4" w:rsidRDefault="006527C9">
      <w:pPr>
        <w:pStyle w:val="TOC2"/>
        <w:rPr>
          <w:rFonts w:asciiTheme="minorHAnsi" w:eastAsiaTheme="minorEastAsia" w:hAnsiTheme="minorHAnsi" w:cstheme="minorBidi"/>
          <w:kern w:val="2"/>
          <w:sz w:val="22"/>
          <w:szCs w:val="22"/>
          <w14:ligatures w14:val="standardContextual"/>
        </w:rPr>
      </w:pPr>
      <w:hyperlink w:anchor="_Toc159241236" w:history="1">
        <w:r w:rsidR="000171F4" w:rsidRPr="00E35EE7">
          <w:rPr>
            <w:rStyle w:val="Hyperlink"/>
          </w:rPr>
          <w:t>Satisfactory completion</w:t>
        </w:r>
        <w:r w:rsidR="000171F4">
          <w:rPr>
            <w:webHidden/>
          </w:rPr>
          <w:tab/>
        </w:r>
        <w:r w:rsidR="000171F4">
          <w:rPr>
            <w:webHidden/>
          </w:rPr>
          <w:fldChar w:fldCharType="begin"/>
        </w:r>
        <w:r w:rsidR="000171F4">
          <w:rPr>
            <w:webHidden/>
          </w:rPr>
          <w:instrText xml:space="preserve"> PAGEREF _Toc159241236 \h </w:instrText>
        </w:r>
        <w:r w:rsidR="000171F4">
          <w:rPr>
            <w:webHidden/>
          </w:rPr>
        </w:r>
        <w:r w:rsidR="000171F4">
          <w:rPr>
            <w:webHidden/>
          </w:rPr>
          <w:fldChar w:fldCharType="separate"/>
        </w:r>
        <w:r w:rsidR="00B17BA2">
          <w:rPr>
            <w:webHidden/>
          </w:rPr>
          <w:t>10</w:t>
        </w:r>
        <w:r w:rsidR="000171F4">
          <w:rPr>
            <w:webHidden/>
          </w:rPr>
          <w:fldChar w:fldCharType="end"/>
        </w:r>
      </w:hyperlink>
    </w:p>
    <w:p w14:paraId="59910EF6" w14:textId="5898FA53" w:rsidR="000171F4" w:rsidRDefault="006527C9">
      <w:pPr>
        <w:pStyle w:val="TOC2"/>
        <w:rPr>
          <w:rFonts w:asciiTheme="minorHAnsi" w:eastAsiaTheme="minorEastAsia" w:hAnsiTheme="minorHAnsi" w:cstheme="minorBidi"/>
          <w:kern w:val="2"/>
          <w:sz w:val="22"/>
          <w:szCs w:val="22"/>
          <w14:ligatures w14:val="standardContextual"/>
        </w:rPr>
      </w:pPr>
      <w:hyperlink w:anchor="_Toc159241237" w:history="1">
        <w:r w:rsidR="000171F4" w:rsidRPr="00E35EE7">
          <w:rPr>
            <w:rStyle w:val="Hyperlink"/>
          </w:rPr>
          <w:t>Levels of achievement</w:t>
        </w:r>
        <w:r w:rsidR="000171F4">
          <w:rPr>
            <w:webHidden/>
          </w:rPr>
          <w:tab/>
        </w:r>
        <w:r w:rsidR="000171F4">
          <w:rPr>
            <w:webHidden/>
          </w:rPr>
          <w:fldChar w:fldCharType="begin"/>
        </w:r>
        <w:r w:rsidR="000171F4">
          <w:rPr>
            <w:webHidden/>
          </w:rPr>
          <w:instrText xml:space="preserve"> PAGEREF _Toc159241237 \h </w:instrText>
        </w:r>
        <w:r w:rsidR="000171F4">
          <w:rPr>
            <w:webHidden/>
          </w:rPr>
        </w:r>
        <w:r w:rsidR="000171F4">
          <w:rPr>
            <w:webHidden/>
          </w:rPr>
          <w:fldChar w:fldCharType="separate"/>
        </w:r>
        <w:r w:rsidR="00B17BA2">
          <w:rPr>
            <w:webHidden/>
          </w:rPr>
          <w:t>10</w:t>
        </w:r>
        <w:r w:rsidR="000171F4">
          <w:rPr>
            <w:webHidden/>
          </w:rPr>
          <w:fldChar w:fldCharType="end"/>
        </w:r>
      </w:hyperlink>
    </w:p>
    <w:p w14:paraId="6CFAFC1C" w14:textId="1D49EEAE" w:rsidR="000171F4" w:rsidRDefault="006527C9">
      <w:pPr>
        <w:pStyle w:val="TOC2"/>
        <w:rPr>
          <w:rFonts w:asciiTheme="minorHAnsi" w:eastAsiaTheme="minorEastAsia" w:hAnsiTheme="minorHAnsi" w:cstheme="minorBidi"/>
          <w:kern w:val="2"/>
          <w:sz w:val="22"/>
          <w:szCs w:val="22"/>
          <w14:ligatures w14:val="standardContextual"/>
        </w:rPr>
      </w:pPr>
      <w:hyperlink w:anchor="_Toc159241240" w:history="1">
        <w:r w:rsidR="000171F4" w:rsidRPr="00E35EE7">
          <w:rPr>
            <w:rStyle w:val="Hyperlink"/>
          </w:rPr>
          <w:t>Authentication</w:t>
        </w:r>
        <w:r w:rsidR="000171F4">
          <w:rPr>
            <w:webHidden/>
          </w:rPr>
          <w:tab/>
        </w:r>
        <w:r w:rsidR="000171F4">
          <w:rPr>
            <w:webHidden/>
          </w:rPr>
          <w:fldChar w:fldCharType="begin"/>
        </w:r>
        <w:r w:rsidR="000171F4">
          <w:rPr>
            <w:webHidden/>
          </w:rPr>
          <w:instrText xml:space="preserve"> PAGEREF _Toc159241240 \h </w:instrText>
        </w:r>
        <w:r w:rsidR="000171F4">
          <w:rPr>
            <w:webHidden/>
          </w:rPr>
        </w:r>
        <w:r w:rsidR="000171F4">
          <w:rPr>
            <w:webHidden/>
          </w:rPr>
          <w:fldChar w:fldCharType="separate"/>
        </w:r>
        <w:r w:rsidR="00B17BA2">
          <w:rPr>
            <w:webHidden/>
          </w:rPr>
          <w:t>11</w:t>
        </w:r>
        <w:r w:rsidR="000171F4">
          <w:rPr>
            <w:webHidden/>
          </w:rPr>
          <w:fldChar w:fldCharType="end"/>
        </w:r>
      </w:hyperlink>
    </w:p>
    <w:p w14:paraId="73A69CCE" w14:textId="2FF8DC7A" w:rsidR="000171F4" w:rsidRDefault="006527C9">
      <w:pPr>
        <w:pStyle w:val="TOC1"/>
        <w:rPr>
          <w:rFonts w:asciiTheme="minorHAnsi" w:eastAsiaTheme="minorEastAsia" w:hAnsiTheme="minorHAnsi" w:cstheme="minorBidi"/>
          <w:b w:val="0"/>
          <w:bCs w:val="0"/>
          <w:kern w:val="2"/>
          <w:sz w:val="22"/>
          <w:szCs w:val="22"/>
          <w14:ligatures w14:val="standardContextual"/>
        </w:rPr>
      </w:pPr>
      <w:hyperlink w:anchor="_Toc159241241" w:history="1">
        <w:r w:rsidR="000171F4" w:rsidRPr="00E35EE7">
          <w:rPr>
            <w:rStyle w:val="Hyperlink"/>
          </w:rPr>
          <w:t>Characteristics of the study</w:t>
        </w:r>
        <w:r w:rsidR="000171F4">
          <w:rPr>
            <w:webHidden/>
          </w:rPr>
          <w:tab/>
        </w:r>
        <w:r w:rsidR="000171F4">
          <w:rPr>
            <w:webHidden/>
          </w:rPr>
          <w:fldChar w:fldCharType="begin"/>
        </w:r>
        <w:r w:rsidR="000171F4">
          <w:rPr>
            <w:webHidden/>
          </w:rPr>
          <w:instrText xml:space="preserve"> PAGEREF _Toc159241241 \h </w:instrText>
        </w:r>
        <w:r w:rsidR="000171F4">
          <w:rPr>
            <w:webHidden/>
          </w:rPr>
        </w:r>
        <w:r w:rsidR="000171F4">
          <w:rPr>
            <w:webHidden/>
          </w:rPr>
          <w:fldChar w:fldCharType="separate"/>
        </w:r>
        <w:r w:rsidR="00B17BA2">
          <w:rPr>
            <w:webHidden/>
          </w:rPr>
          <w:t>12</w:t>
        </w:r>
        <w:r w:rsidR="000171F4">
          <w:rPr>
            <w:webHidden/>
          </w:rPr>
          <w:fldChar w:fldCharType="end"/>
        </w:r>
      </w:hyperlink>
    </w:p>
    <w:p w14:paraId="16BDC79C" w14:textId="5B9FEF60" w:rsidR="000171F4" w:rsidRDefault="006527C9">
      <w:pPr>
        <w:pStyle w:val="TOC1"/>
        <w:rPr>
          <w:rFonts w:asciiTheme="minorHAnsi" w:eastAsiaTheme="minorEastAsia" w:hAnsiTheme="minorHAnsi" w:cstheme="minorBidi"/>
          <w:b w:val="0"/>
          <w:bCs w:val="0"/>
          <w:kern w:val="2"/>
          <w:sz w:val="22"/>
          <w:szCs w:val="22"/>
          <w14:ligatures w14:val="standardContextual"/>
        </w:rPr>
      </w:pPr>
      <w:hyperlink w:anchor="_Toc159241253" w:history="1">
        <w:r w:rsidR="000171F4" w:rsidRPr="00E35EE7">
          <w:rPr>
            <w:rStyle w:val="Hyperlink"/>
          </w:rPr>
          <w:t>Unit 1: Understanding health and wellbeing</w:t>
        </w:r>
        <w:r w:rsidR="000171F4">
          <w:rPr>
            <w:webHidden/>
          </w:rPr>
          <w:tab/>
        </w:r>
        <w:r w:rsidR="000171F4">
          <w:rPr>
            <w:webHidden/>
          </w:rPr>
          <w:fldChar w:fldCharType="begin"/>
        </w:r>
        <w:r w:rsidR="000171F4">
          <w:rPr>
            <w:webHidden/>
          </w:rPr>
          <w:instrText xml:space="preserve"> PAGEREF _Toc159241253 \h </w:instrText>
        </w:r>
        <w:r w:rsidR="000171F4">
          <w:rPr>
            <w:webHidden/>
          </w:rPr>
        </w:r>
        <w:r w:rsidR="000171F4">
          <w:rPr>
            <w:webHidden/>
          </w:rPr>
          <w:fldChar w:fldCharType="separate"/>
        </w:r>
        <w:r w:rsidR="00B17BA2">
          <w:rPr>
            <w:webHidden/>
          </w:rPr>
          <w:t>16</w:t>
        </w:r>
        <w:r w:rsidR="000171F4">
          <w:rPr>
            <w:webHidden/>
          </w:rPr>
          <w:fldChar w:fldCharType="end"/>
        </w:r>
      </w:hyperlink>
    </w:p>
    <w:p w14:paraId="099F60A6" w14:textId="526259BB" w:rsidR="000171F4" w:rsidRDefault="006527C9">
      <w:pPr>
        <w:pStyle w:val="TOC2"/>
        <w:rPr>
          <w:rFonts w:asciiTheme="minorHAnsi" w:eastAsiaTheme="minorEastAsia" w:hAnsiTheme="minorHAnsi" w:cstheme="minorBidi"/>
          <w:kern w:val="2"/>
          <w:sz w:val="22"/>
          <w:szCs w:val="22"/>
          <w14:ligatures w14:val="standardContextual"/>
        </w:rPr>
      </w:pPr>
      <w:hyperlink w:anchor="_Toc159241254" w:history="1">
        <w:r w:rsidR="000171F4" w:rsidRPr="00E35EE7">
          <w:rPr>
            <w:rStyle w:val="Hyperlink"/>
          </w:rPr>
          <w:t>Area of Study 1</w:t>
        </w:r>
        <w:r w:rsidR="000171F4">
          <w:rPr>
            <w:webHidden/>
          </w:rPr>
          <w:tab/>
        </w:r>
        <w:r w:rsidR="000171F4">
          <w:rPr>
            <w:webHidden/>
          </w:rPr>
          <w:fldChar w:fldCharType="begin"/>
        </w:r>
        <w:r w:rsidR="000171F4">
          <w:rPr>
            <w:webHidden/>
          </w:rPr>
          <w:instrText xml:space="preserve"> PAGEREF _Toc159241254 \h </w:instrText>
        </w:r>
        <w:r w:rsidR="000171F4">
          <w:rPr>
            <w:webHidden/>
          </w:rPr>
        </w:r>
        <w:r w:rsidR="000171F4">
          <w:rPr>
            <w:webHidden/>
          </w:rPr>
          <w:fldChar w:fldCharType="separate"/>
        </w:r>
        <w:r w:rsidR="00B17BA2">
          <w:rPr>
            <w:webHidden/>
          </w:rPr>
          <w:t>16</w:t>
        </w:r>
        <w:r w:rsidR="000171F4">
          <w:rPr>
            <w:webHidden/>
          </w:rPr>
          <w:fldChar w:fldCharType="end"/>
        </w:r>
      </w:hyperlink>
    </w:p>
    <w:p w14:paraId="7EE80B65" w14:textId="246D055A" w:rsidR="000171F4" w:rsidRDefault="006527C9">
      <w:pPr>
        <w:pStyle w:val="TOC2"/>
        <w:rPr>
          <w:rFonts w:asciiTheme="minorHAnsi" w:eastAsiaTheme="minorEastAsia" w:hAnsiTheme="minorHAnsi" w:cstheme="minorBidi"/>
          <w:kern w:val="2"/>
          <w:sz w:val="22"/>
          <w:szCs w:val="22"/>
          <w14:ligatures w14:val="standardContextual"/>
        </w:rPr>
      </w:pPr>
      <w:hyperlink w:anchor="_Toc159241257" w:history="1">
        <w:r w:rsidR="000171F4" w:rsidRPr="00E35EE7">
          <w:rPr>
            <w:rStyle w:val="Hyperlink"/>
          </w:rPr>
          <w:t>Area of Study 2</w:t>
        </w:r>
        <w:r w:rsidR="000171F4">
          <w:rPr>
            <w:webHidden/>
          </w:rPr>
          <w:tab/>
        </w:r>
        <w:r w:rsidR="000171F4">
          <w:rPr>
            <w:webHidden/>
          </w:rPr>
          <w:fldChar w:fldCharType="begin"/>
        </w:r>
        <w:r w:rsidR="000171F4">
          <w:rPr>
            <w:webHidden/>
          </w:rPr>
          <w:instrText xml:space="preserve"> PAGEREF _Toc159241257 \h </w:instrText>
        </w:r>
        <w:r w:rsidR="000171F4">
          <w:rPr>
            <w:webHidden/>
          </w:rPr>
        </w:r>
        <w:r w:rsidR="000171F4">
          <w:rPr>
            <w:webHidden/>
          </w:rPr>
          <w:fldChar w:fldCharType="separate"/>
        </w:r>
        <w:r w:rsidR="00B17BA2">
          <w:rPr>
            <w:webHidden/>
          </w:rPr>
          <w:t>17</w:t>
        </w:r>
        <w:r w:rsidR="000171F4">
          <w:rPr>
            <w:webHidden/>
          </w:rPr>
          <w:fldChar w:fldCharType="end"/>
        </w:r>
      </w:hyperlink>
    </w:p>
    <w:p w14:paraId="6E1215EA" w14:textId="2DF36723" w:rsidR="000171F4" w:rsidRDefault="006527C9">
      <w:pPr>
        <w:pStyle w:val="TOC2"/>
        <w:rPr>
          <w:rFonts w:asciiTheme="minorHAnsi" w:eastAsiaTheme="minorEastAsia" w:hAnsiTheme="minorHAnsi" w:cstheme="minorBidi"/>
          <w:kern w:val="2"/>
          <w:sz w:val="22"/>
          <w:szCs w:val="22"/>
          <w14:ligatures w14:val="standardContextual"/>
        </w:rPr>
      </w:pPr>
      <w:hyperlink w:anchor="_Toc159241260" w:history="1">
        <w:r w:rsidR="000171F4" w:rsidRPr="00E35EE7">
          <w:rPr>
            <w:rStyle w:val="Hyperlink"/>
          </w:rPr>
          <w:t>Area of Study 3</w:t>
        </w:r>
        <w:r w:rsidR="000171F4">
          <w:rPr>
            <w:webHidden/>
          </w:rPr>
          <w:tab/>
        </w:r>
        <w:r w:rsidR="000171F4">
          <w:rPr>
            <w:webHidden/>
          </w:rPr>
          <w:fldChar w:fldCharType="begin"/>
        </w:r>
        <w:r w:rsidR="000171F4">
          <w:rPr>
            <w:webHidden/>
          </w:rPr>
          <w:instrText xml:space="preserve"> PAGEREF _Toc159241260 \h </w:instrText>
        </w:r>
        <w:r w:rsidR="000171F4">
          <w:rPr>
            <w:webHidden/>
          </w:rPr>
        </w:r>
        <w:r w:rsidR="000171F4">
          <w:rPr>
            <w:webHidden/>
          </w:rPr>
          <w:fldChar w:fldCharType="separate"/>
        </w:r>
        <w:r w:rsidR="00B17BA2">
          <w:rPr>
            <w:webHidden/>
          </w:rPr>
          <w:t>18</w:t>
        </w:r>
        <w:r w:rsidR="000171F4">
          <w:rPr>
            <w:webHidden/>
          </w:rPr>
          <w:fldChar w:fldCharType="end"/>
        </w:r>
      </w:hyperlink>
    </w:p>
    <w:p w14:paraId="3E600AFB" w14:textId="2178839B" w:rsidR="000171F4" w:rsidRDefault="006527C9">
      <w:pPr>
        <w:pStyle w:val="TOC2"/>
        <w:rPr>
          <w:rFonts w:asciiTheme="minorHAnsi" w:eastAsiaTheme="minorEastAsia" w:hAnsiTheme="minorHAnsi" w:cstheme="minorBidi"/>
          <w:kern w:val="2"/>
          <w:sz w:val="22"/>
          <w:szCs w:val="22"/>
          <w14:ligatures w14:val="standardContextual"/>
        </w:rPr>
      </w:pPr>
      <w:hyperlink w:anchor="_Toc159241263" w:history="1">
        <w:r w:rsidR="000171F4" w:rsidRPr="00E35EE7">
          <w:rPr>
            <w:rStyle w:val="Hyperlink"/>
          </w:rPr>
          <w:t>Assessment</w:t>
        </w:r>
        <w:r w:rsidR="000171F4">
          <w:rPr>
            <w:webHidden/>
          </w:rPr>
          <w:tab/>
        </w:r>
        <w:r w:rsidR="000171F4">
          <w:rPr>
            <w:webHidden/>
          </w:rPr>
          <w:fldChar w:fldCharType="begin"/>
        </w:r>
        <w:r w:rsidR="000171F4">
          <w:rPr>
            <w:webHidden/>
          </w:rPr>
          <w:instrText xml:space="preserve"> PAGEREF _Toc159241263 \h </w:instrText>
        </w:r>
        <w:r w:rsidR="000171F4">
          <w:rPr>
            <w:webHidden/>
          </w:rPr>
        </w:r>
        <w:r w:rsidR="000171F4">
          <w:rPr>
            <w:webHidden/>
          </w:rPr>
          <w:fldChar w:fldCharType="separate"/>
        </w:r>
        <w:r w:rsidR="00B17BA2">
          <w:rPr>
            <w:webHidden/>
          </w:rPr>
          <w:t>19</w:t>
        </w:r>
        <w:r w:rsidR="000171F4">
          <w:rPr>
            <w:webHidden/>
          </w:rPr>
          <w:fldChar w:fldCharType="end"/>
        </w:r>
      </w:hyperlink>
    </w:p>
    <w:p w14:paraId="05920459" w14:textId="33BDED68" w:rsidR="000171F4" w:rsidRDefault="006527C9">
      <w:pPr>
        <w:pStyle w:val="TOC1"/>
        <w:rPr>
          <w:rFonts w:asciiTheme="minorHAnsi" w:eastAsiaTheme="minorEastAsia" w:hAnsiTheme="minorHAnsi" w:cstheme="minorBidi"/>
          <w:b w:val="0"/>
          <w:bCs w:val="0"/>
          <w:kern w:val="2"/>
          <w:sz w:val="22"/>
          <w:szCs w:val="22"/>
          <w14:ligatures w14:val="standardContextual"/>
        </w:rPr>
      </w:pPr>
      <w:hyperlink w:anchor="_Toc159241264" w:history="1">
        <w:r w:rsidR="000171F4" w:rsidRPr="00E35EE7">
          <w:rPr>
            <w:rStyle w:val="Hyperlink"/>
          </w:rPr>
          <w:t>Unit 2: Managing health and development</w:t>
        </w:r>
        <w:r w:rsidR="000171F4">
          <w:rPr>
            <w:webHidden/>
          </w:rPr>
          <w:tab/>
        </w:r>
        <w:r w:rsidR="000171F4">
          <w:rPr>
            <w:webHidden/>
          </w:rPr>
          <w:fldChar w:fldCharType="begin"/>
        </w:r>
        <w:r w:rsidR="000171F4">
          <w:rPr>
            <w:webHidden/>
          </w:rPr>
          <w:instrText xml:space="preserve"> PAGEREF _Toc159241264 \h </w:instrText>
        </w:r>
        <w:r w:rsidR="000171F4">
          <w:rPr>
            <w:webHidden/>
          </w:rPr>
        </w:r>
        <w:r w:rsidR="000171F4">
          <w:rPr>
            <w:webHidden/>
          </w:rPr>
          <w:fldChar w:fldCharType="separate"/>
        </w:r>
        <w:r w:rsidR="00B17BA2">
          <w:rPr>
            <w:webHidden/>
          </w:rPr>
          <w:t>20</w:t>
        </w:r>
        <w:r w:rsidR="000171F4">
          <w:rPr>
            <w:webHidden/>
          </w:rPr>
          <w:fldChar w:fldCharType="end"/>
        </w:r>
      </w:hyperlink>
    </w:p>
    <w:p w14:paraId="4DBD708C" w14:textId="272643FB" w:rsidR="000171F4" w:rsidRDefault="006527C9">
      <w:pPr>
        <w:pStyle w:val="TOC2"/>
        <w:rPr>
          <w:rFonts w:asciiTheme="minorHAnsi" w:eastAsiaTheme="minorEastAsia" w:hAnsiTheme="minorHAnsi" w:cstheme="minorBidi"/>
          <w:kern w:val="2"/>
          <w:sz w:val="22"/>
          <w:szCs w:val="22"/>
          <w14:ligatures w14:val="standardContextual"/>
        </w:rPr>
      </w:pPr>
      <w:hyperlink w:anchor="_Toc159241265" w:history="1">
        <w:r w:rsidR="000171F4" w:rsidRPr="00E35EE7">
          <w:rPr>
            <w:rStyle w:val="Hyperlink"/>
          </w:rPr>
          <w:t>Area of Study 1</w:t>
        </w:r>
        <w:r w:rsidR="000171F4">
          <w:rPr>
            <w:webHidden/>
          </w:rPr>
          <w:tab/>
        </w:r>
        <w:r w:rsidR="000171F4">
          <w:rPr>
            <w:webHidden/>
          </w:rPr>
          <w:fldChar w:fldCharType="begin"/>
        </w:r>
        <w:r w:rsidR="000171F4">
          <w:rPr>
            <w:webHidden/>
          </w:rPr>
          <w:instrText xml:space="preserve"> PAGEREF _Toc159241265 \h </w:instrText>
        </w:r>
        <w:r w:rsidR="000171F4">
          <w:rPr>
            <w:webHidden/>
          </w:rPr>
        </w:r>
        <w:r w:rsidR="000171F4">
          <w:rPr>
            <w:webHidden/>
          </w:rPr>
          <w:fldChar w:fldCharType="separate"/>
        </w:r>
        <w:r w:rsidR="00B17BA2">
          <w:rPr>
            <w:webHidden/>
          </w:rPr>
          <w:t>20</w:t>
        </w:r>
        <w:r w:rsidR="000171F4">
          <w:rPr>
            <w:webHidden/>
          </w:rPr>
          <w:fldChar w:fldCharType="end"/>
        </w:r>
      </w:hyperlink>
    </w:p>
    <w:p w14:paraId="0303F4C2" w14:textId="75D1BADB" w:rsidR="000171F4" w:rsidRDefault="006527C9">
      <w:pPr>
        <w:pStyle w:val="TOC2"/>
        <w:rPr>
          <w:rFonts w:asciiTheme="minorHAnsi" w:eastAsiaTheme="minorEastAsia" w:hAnsiTheme="minorHAnsi" w:cstheme="minorBidi"/>
          <w:kern w:val="2"/>
          <w:sz w:val="22"/>
          <w:szCs w:val="22"/>
          <w14:ligatures w14:val="standardContextual"/>
        </w:rPr>
      </w:pPr>
      <w:hyperlink w:anchor="_Toc159241268" w:history="1">
        <w:r w:rsidR="000171F4" w:rsidRPr="00E35EE7">
          <w:rPr>
            <w:rStyle w:val="Hyperlink"/>
          </w:rPr>
          <w:t>Area of Study 2</w:t>
        </w:r>
        <w:r w:rsidR="000171F4">
          <w:rPr>
            <w:webHidden/>
          </w:rPr>
          <w:tab/>
        </w:r>
        <w:r w:rsidR="000171F4">
          <w:rPr>
            <w:webHidden/>
          </w:rPr>
          <w:fldChar w:fldCharType="begin"/>
        </w:r>
        <w:r w:rsidR="000171F4">
          <w:rPr>
            <w:webHidden/>
          </w:rPr>
          <w:instrText xml:space="preserve"> PAGEREF _Toc159241268 \h </w:instrText>
        </w:r>
        <w:r w:rsidR="000171F4">
          <w:rPr>
            <w:webHidden/>
          </w:rPr>
        </w:r>
        <w:r w:rsidR="000171F4">
          <w:rPr>
            <w:webHidden/>
          </w:rPr>
          <w:fldChar w:fldCharType="separate"/>
        </w:r>
        <w:r w:rsidR="00B17BA2">
          <w:rPr>
            <w:webHidden/>
          </w:rPr>
          <w:t>21</w:t>
        </w:r>
        <w:r w:rsidR="000171F4">
          <w:rPr>
            <w:webHidden/>
          </w:rPr>
          <w:fldChar w:fldCharType="end"/>
        </w:r>
      </w:hyperlink>
    </w:p>
    <w:p w14:paraId="5F052703" w14:textId="0B52A57E" w:rsidR="000171F4" w:rsidRDefault="006527C9">
      <w:pPr>
        <w:pStyle w:val="TOC2"/>
        <w:rPr>
          <w:rFonts w:asciiTheme="minorHAnsi" w:eastAsiaTheme="minorEastAsia" w:hAnsiTheme="minorHAnsi" w:cstheme="minorBidi"/>
          <w:kern w:val="2"/>
          <w:sz w:val="22"/>
          <w:szCs w:val="22"/>
          <w14:ligatures w14:val="standardContextual"/>
        </w:rPr>
      </w:pPr>
      <w:hyperlink w:anchor="_Toc159241271" w:history="1">
        <w:r w:rsidR="000171F4" w:rsidRPr="00E35EE7">
          <w:rPr>
            <w:rStyle w:val="Hyperlink"/>
          </w:rPr>
          <w:t>Assessment</w:t>
        </w:r>
        <w:r w:rsidR="000171F4">
          <w:rPr>
            <w:webHidden/>
          </w:rPr>
          <w:tab/>
        </w:r>
        <w:r w:rsidR="000171F4">
          <w:rPr>
            <w:webHidden/>
          </w:rPr>
          <w:fldChar w:fldCharType="begin"/>
        </w:r>
        <w:r w:rsidR="000171F4">
          <w:rPr>
            <w:webHidden/>
          </w:rPr>
          <w:instrText xml:space="preserve"> PAGEREF _Toc159241271 \h </w:instrText>
        </w:r>
        <w:r w:rsidR="000171F4">
          <w:rPr>
            <w:webHidden/>
          </w:rPr>
        </w:r>
        <w:r w:rsidR="000171F4">
          <w:rPr>
            <w:webHidden/>
          </w:rPr>
          <w:fldChar w:fldCharType="separate"/>
        </w:r>
        <w:r w:rsidR="00B17BA2">
          <w:rPr>
            <w:webHidden/>
          </w:rPr>
          <w:t>22</w:t>
        </w:r>
        <w:r w:rsidR="000171F4">
          <w:rPr>
            <w:webHidden/>
          </w:rPr>
          <w:fldChar w:fldCharType="end"/>
        </w:r>
      </w:hyperlink>
    </w:p>
    <w:p w14:paraId="63B6997F" w14:textId="70DAA67F" w:rsidR="000171F4" w:rsidRDefault="006527C9">
      <w:pPr>
        <w:pStyle w:val="TOC1"/>
        <w:rPr>
          <w:rFonts w:asciiTheme="minorHAnsi" w:eastAsiaTheme="minorEastAsia" w:hAnsiTheme="minorHAnsi" w:cstheme="minorBidi"/>
          <w:b w:val="0"/>
          <w:bCs w:val="0"/>
          <w:kern w:val="2"/>
          <w:sz w:val="22"/>
          <w:szCs w:val="22"/>
          <w14:ligatures w14:val="standardContextual"/>
        </w:rPr>
      </w:pPr>
      <w:hyperlink w:anchor="_Toc159241272" w:history="1">
        <w:r w:rsidR="000171F4" w:rsidRPr="00E35EE7">
          <w:rPr>
            <w:rStyle w:val="Hyperlink"/>
          </w:rPr>
          <w:t>Unit 3: Australia’s health in a globalised world</w:t>
        </w:r>
        <w:r w:rsidR="000171F4">
          <w:rPr>
            <w:webHidden/>
          </w:rPr>
          <w:tab/>
        </w:r>
        <w:r w:rsidR="000171F4">
          <w:rPr>
            <w:webHidden/>
          </w:rPr>
          <w:fldChar w:fldCharType="begin"/>
        </w:r>
        <w:r w:rsidR="000171F4">
          <w:rPr>
            <w:webHidden/>
          </w:rPr>
          <w:instrText xml:space="preserve"> PAGEREF _Toc159241272 \h </w:instrText>
        </w:r>
        <w:r w:rsidR="000171F4">
          <w:rPr>
            <w:webHidden/>
          </w:rPr>
        </w:r>
        <w:r w:rsidR="000171F4">
          <w:rPr>
            <w:webHidden/>
          </w:rPr>
          <w:fldChar w:fldCharType="separate"/>
        </w:r>
        <w:r w:rsidR="00B17BA2">
          <w:rPr>
            <w:webHidden/>
          </w:rPr>
          <w:t>23</w:t>
        </w:r>
        <w:r w:rsidR="000171F4">
          <w:rPr>
            <w:webHidden/>
          </w:rPr>
          <w:fldChar w:fldCharType="end"/>
        </w:r>
      </w:hyperlink>
    </w:p>
    <w:p w14:paraId="6F2B88A8" w14:textId="4BD827EB" w:rsidR="000171F4" w:rsidRDefault="006527C9">
      <w:pPr>
        <w:pStyle w:val="TOC2"/>
        <w:rPr>
          <w:rFonts w:asciiTheme="minorHAnsi" w:eastAsiaTheme="minorEastAsia" w:hAnsiTheme="minorHAnsi" w:cstheme="minorBidi"/>
          <w:kern w:val="2"/>
          <w:sz w:val="22"/>
          <w:szCs w:val="22"/>
          <w14:ligatures w14:val="standardContextual"/>
        </w:rPr>
      </w:pPr>
      <w:hyperlink w:anchor="_Toc159241273" w:history="1">
        <w:r w:rsidR="000171F4" w:rsidRPr="00E35EE7">
          <w:rPr>
            <w:rStyle w:val="Hyperlink"/>
          </w:rPr>
          <w:t>Area of Study 1</w:t>
        </w:r>
        <w:r w:rsidR="000171F4">
          <w:rPr>
            <w:webHidden/>
          </w:rPr>
          <w:tab/>
        </w:r>
        <w:r w:rsidR="000171F4">
          <w:rPr>
            <w:webHidden/>
          </w:rPr>
          <w:fldChar w:fldCharType="begin"/>
        </w:r>
        <w:r w:rsidR="000171F4">
          <w:rPr>
            <w:webHidden/>
          </w:rPr>
          <w:instrText xml:space="preserve"> PAGEREF _Toc159241273 \h </w:instrText>
        </w:r>
        <w:r w:rsidR="000171F4">
          <w:rPr>
            <w:webHidden/>
          </w:rPr>
        </w:r>
        <w:r w:rsidR="000171F4">
          <w:rPr>
            <w:webHidden/>
          </w:rPr>
          <w:fldChar w:fldCharType="separate"/>
        </w:r>
        <w:r w:rsidR="00B17BA2">
          <w:rPr>
            <w:webHidden/>
          </w:rPr>
          <w:t>23</w:t>
        </w:r>
        <w:r w:rsidR="000171F4">
          <w:rPr>
            <w:webHidden/>
          </w:rPr>
          <w:fldChar w:fldCharType="end"/>
        </w:r>
      </w:hyperlink>
    </w:p>
    <w:p w14:paraId="49678E27" w14:textId="17B34BB3" w:rsidR="000171F4" w:rsidRDefault="006527C9">
      <w:pPr>
        <w:pStyle w:val="TOC2"/>
        <w:rPr>
          <w:rFonts w:asciiTheme="minorHAnsi" w:eastAsiaTheme="minorEastAsia" w:hAnsiTheme="minorHAnsi" w:cstheme="minorBidi"/>
          <w:kern w:val="2"/>
          <w:sz w:val="22"/>
          <w:szCs w:val="22"/>
          <w14:ligatures w14:val="standardContextual"/>
        </w:rPr>
      </w:pPr>
      <w:hyperlink w:anchor="_Toc159241276" w:history="1">
        <w:r w:rsidR="000171F4" w:rsidRPr="00E35EE7">
          <w:rPr>
            <w:rStyle w:val="Hyperlink"/>
          </w:rPr>
          <w:t>Area of Study 2</w:t>
        </w:r>
        <w:r w:rsidR="000171F4">
          <w:rPr>
            <w:webHidden/>
          </w:rPr>
          <w:tab/>
        </w:r>
        <w:r w:rsidR="000171F4">
          <w:rPr>
            <w:webHidden/>
          </w:rPr>
          <w:fldChar w:fldCharType="begin"/>
        </w:r>
        <w:r w:rsidR="000171F4">
          <w:rPr>
            <w:webHidden/>
          </w:rPr>
          <w:instrText xml:space="preserve"> PAGEREF _Toc159241276 \h </w:instrText>
        </w:r>
        <w:r w:rsidR="000171F4">
          <w:rPr>
            <w:webHidden/>
          </w:rPr>
        </w:r>
        <w:r w:rsidR="000171F4">
          <w:rPr>
            <w:webHidden/>
          </w:rPr>
          <w:fldChar w:fldCharType="separate"/>
        </w:r>
        <w:r w:rsidR="00B17BA2">
          <w:rPr>
            <w:webHidden/>
          </w:rPr>
          <w:t>24</w:t>
        </w:r>
        <w:r w:rsidR="000171F4">
          <w:rPr>
            <w:webHidden/>
          </w:rPr>
          <w:fldChar w:fldCharType="end"/>
        </w:r>
      </w:hyperlink>
    </w:p>
    <w:p w14:paraId="674DEA0D" w14:textId="33F4E9AF" w:rsidR="000171F4" w:rsidRDefault="006527C9">
      <w:pPr>
        <w:pStyle w:val="TOC2"/>
        <w:rPr>
          <w:rFonts w:asciiTheme="minorHAnsi" w:eastAsiaTheme="minorEastAsia" w:hAnsiTheme="minorHAnsi" w:cstheme="minorBidi"/>
          <w:kern w:val="2"/>
          <w:sz w:val="22"/>
          <w:szCs w:val="22"/>
          <w14:ligatures w14:val="standardContextual"/>
        </w:rPr>
      </w:pPr>
      <w:hyperlink w:anchor="_Toc159241279" w:history="1">
        <w:r w:rsidR="000171F4" w:rsidRPr="00E35EE7">
          <w:rPr>
            <w:rStyle w:val="Hyperlink"/>
          </w:rPr>
          <w:t>School-based assessment</w:t>
        </w:r>
        <w:r w:rsidR="000171F4">
          <w:rPr>
            <w:webHidden/>
          </w:rPr>
          <w:tab/>
        </w:r>
        <w:r w:rsidR="000171F4">
          <w:rPr>
            <w:webHidden/>
          </w:rPr>
          <w:fldChar w:fldCharType="begin"/>
        </w:r>
        <w:r w:rsidR="000171F4">
          <w:rPr>
            <w:webHidden/>
          </w:rPr>
          <w:instrText xml:space="preserve"> PAGEREF _Toc159241279 \h </w:instrText>
        </w:r>
        <w:r w:rsidR="000171F4">
          <w:rPr>
            <w:webHidden/>
          </w:rPr>
        </w:r>
        <w:r w:rsidR="000171F4">
          <w:rPr>
            <w:webHidden/>
          </w:rPr>
          <w:fldChar w:fldCharType="separate"/>
        </w:r>
        <w:r w:rsidR="00B17BA2">
          <w:rPr>
            <w:webHidden/>
          </w:rPr>
          <w:t>25</w:t>
        </w:r>
        <w:r w:rsidR="000171F4">
          <w:rPr>
            <w:webHidden/>
          </w:rPr>
          <w:fldChar w:fldCharType="end"/>
        </w:r>
      </w:hyperlink>
    </w:p>
    <w:p w14:paraId="670E76F1" w14:textId="5E8BFD1E" w:rsidR="000171F4" w:rsidRDefault="006527C9">
      <w:pPr>
        <w:pStyle w:val="TOC2"/>
        <w:rPr>
          <w:rFonts w:asciiTheme="minorHAnsi" w:eastAsiaTheme="minorEastAsia" w:hAnsiTheme="minorHAnsi" w:cstheme="minorBidi"/>
          <w:kern w:val="2"/>
          <w:sz w:val="22"/>
          <w:szCs w:val="22"/>
          <w14:ligatures w14:val="standardContextual"/>
        </w:rPr>
      </w:pPr>
      <w:hyperlink w:anchor="_Toc159241282" w:history="1">
        <w:r w:rsidR="000171F4" w:rsidRPr="00E35EE7">
          <w:rPr>
            <w:rStyle w:val="Hyperlink"/>
          </w:rPr>
          <w:t>External assessment</w:t>
        </w:r>
        <w:r w:rsidR="000171F4">
          <w:rPr>
            <w:webHidden/>
          </w:rPr>
          <w:tab/>
        </w:r>
        <w:r w:rsidR="000171F4">
          <w:rPr>
            <w:webHidden/>
          </w:rPr>
          <w:fldChar w:fldCharType="begin"/>
        </w:r>
        <w:r w:rsidR="000171F4">
          <w:rPr>
            <w:webHidden/>
          </w:rPr>
          <w:instrText xml:space="preserve"> PAGEREF _Toc159241282 \h </w:instrText>
        </w:r>
        <w:r w:rsidR="000171F4">
          <w:rPr>
            <w:webHidden/>
          </w:rPr>
        </w:r>
        <w:r w:rsidR="000171F4">
          <w:rPr>
            <w:webHidden/>
          </w:rPr>
          <w:fldChar w:fldCharType="separate"/>
        </w:r>
        <w:r w:rsidR="00B17BA2">
          <w:rPr>
            <w:webHidden/>
          </w:rPr>
          <w:t>26</w:t>
        </w:r>
        <w:r w:rsidR="000171F4">
          <w:rPr>
            <w:webHidden/>
          </w:rPr>
          <w:fldChar w:fldCharType="end"/>
        </w:r>
      </w:hyperlink>
    </w:p>
    <w:p w14:paraId="30F5EB58" w14:textId="0081EB7C" w:rsidR="000171F4" w:rsidRDefault="006527C9">
      <w:pPr>
        <w:pStyle w:val="TOC1"/>
        <w:rPr>
          <w:rFonts w:asciiTheme="minorHAnsi" w:eastAsiaTheme="minorEastAsia" w:hAnsiTheme="minorHAnsi" w:cstheme="minorBidi"/>
          <w:b w:val="0"/>
          <w:bCs w:val="0"/>
          <w:kern w:val="2"/>
          <w:sz w:val="22"/>
          <w:szCs w:val="22"/>
          <w14:ligatures w14:val="standardContextual"/>
        </w:rPr>
      </w:pPr>
      <w:hyperlink w:anchor="_Toc159241283" w:history="1">
        <w:r w:rsidR="000171F4" w:rsidRPr="00E35EE7">
          <w:rPr>
            <w:rStyle w:val="Hyperlink"/>
          </w:rPr>
          <w:t>Unit 4: Health and human development in a global context</w:t>
        </w:r>
        <w:r w:rsidR="000171F4">
          <w:rPr>
            <w:webHidden/>
          </w:rPr>
          <w:tab/>
        </w:r>
        <w:r w:rsidR="000171F4">
          <w:rPr>
            <w:webHidden/>
          </w:rPr>
          <w:fldChar w:fldCharType="begin"/>
        </w:r>
        <w:r w:rsidR="000171F4">
          <w:rPr>
            <w:webHidden/>
          </w:rPr>
          <w:instrText xml:space="preserve"> PAGEREF _Toc159241283 \h </w:instrText>
        </w:r>
        <w:r w:rsidR="000171F4">
          <w:rPr>
            <w:webHidden/>
          </w:rPr>
        </w:r>
        <w:r w:rsidR="000171F4">
          <w:rPr>
            <w:webHidden/>
          </w:rPr>
          <w:fldChar w:fldCharType="separate"/>
        </w:r>
        <w:r w:rsidR="00B17BA2">
          <w:rPr>
            <w:webHidden/>
          </w:rPr>
          <w:t>27</w:t>
        </w:r>
        <w:r w:rsidR="000171F4">
          <w:rPr>
            <w:webHidden/>
          </w:rPr>
          <w:fldChar w:fldCharType="end"/>
        </w:r>
      </w:hyperlink>
    </w:p>
    <w:p w14:paraId="6552691B" w14:textId="6E3B6D67" w:rsidR="000171F4" w:rsidRDefault="006527C9">
      <w:pPr>
        <w:pStyle w:val="TOC2"/>
        <w:rPr>
          <w:rFonts w:asciiTheme="minorHAnsi" w:eastAsiaTheme="minorEastAsia" w:hAnsiTheme="minorHAnsi" w:cstheme="minorBidi"/>
          <w:kern w:val="2"/>
          <w:sz w:val="22"/>
          <w:szCs w:val="22"/>
          <w14:ligatures w14:val="standardContextual"/>
        </w:rPr>
      </w:pPr>
      <w:hyperlink w:anchor="_Toc159241284" w:history="1">
        <w:r w:rsidR="000171F4" w:rsidRPr="00E35EE7">
          <w:rPr>
            <w:rStyle w:val="Hyperlink"/>
          </w:rPr>
          <w:t>Area of Study 1</w:t>
        </w:r>
        <w:r w:rsidR="000171F4">
          <w:rPr>
            <w:webHidden/>
          </w:rPr>
          <w:tab/>
        </w:r>
        <w:r w:rsidR="000171F4">
          <w:rPr>
            <w:webHidden/>
          </w:rPr>
          <w:fldChar w:fldCharType="begin"/>
        </w:r>
        <w:r w:rsidR="000171F4">
          <w:rPr>
            <w:webHidden/>
          </w:rPr>
          <w:instrText xml:space="preserve"> PAGEREF _Toc159241284 \h </w:instrText>
        </w:r>
        <w:r w:rsidR="000171F4">
          <w:rPr>
            <w:webHidden/>
          </w:rPr>
        </w:r>
        <w:r w:rsidR="000171F4">
          <w:rPr>
            <w:webHidden/>
          </w:rPr>
          <w:fldChar w:fldCharType="separate"/>
        </w:r>
        <w:r w:rsidR="00B17BA2">
          <w:rPr>
            <w:webHidden/>
          </w:rPr>
          <w:t>27</w:t>
        </w:r>
        <w:r w:rsidR="000171F4">
          <w:rPr>
            <w:webHidden/>
          </w:rPr>
          <w:fldChar w:fldCharType="end"/>
        </w:r>
      </w:hyperlink>
    </w:p>
    <w:p w14:paraId="56794074" w14:textId="71CA18FB" w:rsidR="000171F4" w:rsidRDefault="006527C9">
      <w:pPr>
        <w:pStyle w:val="TOC2"/>
        <w:rPr>
          <w:rFonts w:asciiTheme="minorHAnsi" w:eastAsiaTheme="minorEastAsia" w:hAnsiTheme="minorHAnsi" w:cstheme="minorBidi"/>
          <w:kern w:val="2"/>
          <w:sz w:val="22"/>
          <w:szCs w:val="22"/>
          <w14:ligatures w14:val="standardContextual"/>
        </w:rPr>
      </w:pPr>
      <w:hyperlink w:anchor="_Toc159241287" w:history="1">
        <w:r w:rsidR="000171F4" w:rsidRPr="00E35EE7">
          <w:rPr>
            <w:rStyle w:val="Hyperlink"/>
          </w:rPr>
          <w:t>Area of Study 2</w:t>
        </w:r>
        <w:r w:rsidR="000171F4">
          <w:rPr>
            <w:webHidden/>
          </w:rPr>
          <w:tab/>
        </w:r>
        <w:r w:rsidR="000171F4">
          <w:rPr>
            <w:webHidden/>
          </w:rPr>
          <w:fldChar w:fldCharType="begin"/>
        </w:r>
        <w:r w:rsidR="000171F4">
          <w:rPr>
            <w:webHidden/>
          </w:rPr>
          <w:instrText xml:space="preserve"> PAGEREF _Toc159241287 \h </w:instrText>
        </w:r>
        <w:r w:rsidR="000171F4">
          <w:rPr>
            <w:webHidden/>
          </w:rPr>
        </w:r>
        <w:r w:rsidR="000171F4">
          <w:rPr>
            <w:webHidden/>
          </w:rPr>
          <w:fldChar w:fldCharType="separate"/>
        </w:r>
        <w:r w:rsidR="00B17BA2">
          <w:rPr>
            <w:webHidden/>
          </w:rPr>
          <w:t>28</w:t>
        </w:r>
        <w:r w:rsidR="000171F4">
          <w:rPr>
            <w:webHidden/>
          </w:rPr>
          <w:fldChar w:fldCharType="end"/>
        </w:r>
      </w:hyperlink>
    </w:p>
    <w:p w14:paraId="59E57514" w14:textId="3E52767D" w:rsidR="000171F4" w:rsidRDefault="006527C9">
      <w:pPr>
        <w:pStyle w:val="TOC2"/>
        <w:rPr>
          <w:rFonts w:asciiTheme="minorHAnsi" w:eastAsiaTheme="minorEastAsia" w:hAnsiTheme="minorHAnsi" w:cstheme="minorBidi"/>
          <w:kern w:val="2"/>
          <w:sz w:val="22"/>
          <w:szCs w:val="22"/>
          <w14:ligatures w14:val="standardContextual"/>
        </w:rPr>
      </w:pPr>
      <w:hyperlink w:anchor="_Toc159241290" w:history="1">
        <w:r w:rsidR="000171F4" w:rsidRPr="00E35EE7">
          <w:rPr>
            <w:rStyle w:val="Hyperlink"/>
          </w:rPr>
          <w:t>School-based assessment</w:t>
        </w:r>
        <w:r w:rsidR="000171F4">
          <w:rPr>
            <w:webHidden/>
          </w:rPr>
          <w:tab/>
        </w:r>
        <w:r w:rsidR="000171F4">
          <w:rPr>
            <w:webHidden/>
          </w:rPr>
          <w:fldChar w:fldCharType="begin"/>
        </w:r>
        <w:r w:rsidR="000171F4">
          <w:rPr>
            <w:webHidden/>
          </w:rPr>
          <w:instrText xml:space="preserve"> PAGEREF _Toc159241290 \h </w:instrText>
        </w:r>
        <w:r w:rsidR="000171F4">
          <w:rPr>
            <w:webHidden/>
          </w:rPr>
        </w:r>
        <w:r w:rsidR="000171F4">
          <w:rPr>
            <w:webHidden/>
          </w:rPr>
          <w:fldChar w:fldCharType="separate"/>
        </w:r>
        <w:r w:rsidR="00B17BA2">
          <w:rPr>
            <w:webHidden/>
          </w:rPr>
          <w:t>29</w:t>
        </w:r>
        <w:r w:rsidR="000171F4">
          <w:rPr>
            <w:webHidden/>
          </w:rPr>
          <w:fldChar w:fldCharType="end"/>
        </w:r>
      </w:hyperlink>
    </w:p>
    <w:p w14:paraId="582A9BA7" w14:textId="55904ABF" w:rsidR="000171F4" w:rsidRDefault="006527C9">
      <w:pPr>
        <w:pStyle w:val="TOC2"/>
        <w:rPr>
          <w:rFonts w:asciiTheme="minorHAnsi" w:eastAsiaTheme="minorEastAsia" w:hAnsiTheme="minorHAnsi" w:cstheme="minorBidi"/>
          <w:kern w:val="2"/>
          <w:sz w:val="22"/>
          <w:szCs w:val="22"/>
          <w14:ligatures w14:val="standardContextual"/>
        </w:rPr>
      </w:pPr>
      <w:hyperlink w:anchor="_Toc159241293" w:history="1">
        <w:r w:rsidR="000171F4" w:rsidRPr="00E35EE7">
          <w:rPr>
            <w:rStyle w:val="Hyperlink"/>
          </w:rPr>
          <w:t>External assessment</w:t>
        </w:r>
        <w:r w:rsidR="000171F4">
          <w:rPr>
            <w:webHidden/>
          </w:rPr>
          <w:tab/>
        </w:r>
        <w:r w:rsidR="000171F4">
          <w:rPr>
            <w:webHidden/>
          </w:rPr>
          <w:fldChar w:fldCharType="begin"/>
        </w:r>
        <w:r w:rsidR="000171F4">
          <w:rPr>
            <w:webHidden/>
          </w:rPr>
          <w:instrText xml:space="preserve"> PAGEREF _Toc159241293 \h </w:instrText>
        </w:r>
        <w:r w:rsidR="000171F4">
          <w:rPr>
            <w:webHidden/>
          </w:rPr>
        </w:r>
        <w:r w:rsidR="000171F4">
          <w:rPr>
            <w:webHidden/>
          </w:rPr>
          <w:fldChar w:fldCharType="separate"/>
        </w:r>
        <w:r w:rsidR="00B17BA2">
          <w:rPr>
            <w:webHidden/>
          </w:rPr>
          <w:t>30</w:t>
        </w:r>
        <w:r w:rsidR="000171F4">
          <w:rPr>
            <w:webHidden/>
          </w:rPr>
          <w:fldChar w:fldCharType="end"/>
        </w:r>
      </w:hyperlink>
    </w:p>
    <w:p w14:paraId="720786BF" w14:textId="6902AB89" w:rsidR="00EF04EB" w:rsidRPr="00C14D55" w:rsidRDefault="00606845" w:rsidP="006339E6">
      <w:pPr>
        <w:pStyle w:val="VCAAHeading1"/>
        <w:spacing w:before="0"/>
        <w:rPr>
          <w:lang w:val="en-AU"/>
        </w:rPr>
      </w:pPr>
      <w:r w:rsidRPr="00C14D55">
        <w:rPr>
          <w:rFonts w:eastAsia="Times New Roman"/>
          <w:b/>
          <w:bCs/>
          <w:noProof/>
          <w:szCs w:val="24"/>
          <w:lang w:val="en-AU" w:eastAsia="en-AU"/>
        </w:rPr>
        <w:fldChar w:fldCharType="end"/>
      </w:r>
      <w:r w:rsidR="003A00B4" w:rsidRPr="00C14D55">
        <w:rPr>
          <w:noProof/>
          <w:lang w:val="en-AU"/>
        </w:rPr>
        <w:br w:type="page"/>
      </w:r>
      <w:bookmarkStart w:id="9" w:name="_Toc159241216"/>
      <w:bookmarkStart w:id="10" w:name="_Hlk84943307"/>
      <w:r w:rsidR="00EF04EB" w:rsidRPr="00C14D55">
        <w:rPr>
          <w:lang w:val="en-AU"/>
        </w:rPr>
        <w:lastRenderedPageBreak/>
        <w:t>Important information</w:t>
      </w:r>
      <w:bookmarkEnd w:id="9"/>
    </w:p>
    <w:p w14:paraId="25C9456C" w14:textId="77777777" w:rsidR="00EF04EB" w:rsidRPr="00C14D55" w:rsidRDefault="00EF04EB" w:rsidP="00EF04EB">
      <w:pPr>
        <w:pStyle w:val="VCAAHeading2"/>
        <w:rPr>
          <w:lang w:val="en-AU"/>
        </w:rPr>
      </w:pPr>
      <w:bookmarkStart w:id="11" w:name="_Toc130815854"/>
      <w:bookmarkStart w:id="12" w:name="_Toc159241217"/>
      <w:r w:rsidRPr="00C14D55">
        <w:rPr>
          <w:lang w:val="en-AU"/>
        </w:rPr>
        <w:t>Accreditation period</w:t>
      </w:r>
      <w:bookmarkEnd w:id="11"/>
      <w:bookmarkEnd w:id="12"/>
    </w:p>
    <w:p w14:paraId="357919A0" w14:textId="70AABC29" w:rsidR="00EF04EB" w:rsidRPr="00C14D55" w:rsidRDefault="00EF04EB" w:rsidP="00EF04EB">
      <w:pPr>
        <w:pStyle w:val="VCAAbody"/>
        <w:rPr>
          <w:lang w:val="en-AU"/>
        </w:rPr>
      </w:pPr>
      <w:r w:rsidRPr="00C14D55">
        <w:rPr>
          <w:lang w:val="en-AU"/>
        </w:rPr>
        <w:t>Units 1–4: 1 January 20</w:t>
      </w:r>
      <w:r w:rsidR="000C751B" w:rsidRPr="00C14D55">
        <w:rPr>
          <w:lang w:val="en-AU"/>
        </w:rPr>
        <w:t>25</w:t>
      </w:r>
      <w:r w:rsidR="00A13D50">
        <w:rPr>
          <w:lang w:val="en-AU"/>
        </w:rPr>
        <w:t>.</w:t>
      </w:r>
    </w:p>
    <w:p w14:paraId="01D8DD5B" w14:textId="596920C0" w:rsidR="00EF04EB" w:rsidRPr="00C14D55" w:rsidRDefault="00EF04EB" w:rsidP="00EF04EB">
      <w:pPr>
        <w:pStyle w:val="VCAAbody"/>
        <w:rPr>
          <w:lang w:val="en-AU"/>
        </w:rPr>
      </w:pPr>
      <w:r w:rsidRPr="00C14D55">
        <w:rPr>
          <w:lang w:val="en-AU"/>
        </w:rPr>
        <w:t>Implementation of this study commences in 20</w:t>
      </w:r>
      <w:r w:rsidR="000C751B" w:rsidRPr="00C14D55">
        <w:rPr>
          <w:lang w:val="en-AU"/>
        </w:rPr>
        <w:t>25</w:t>
      </w:r>
      <w:r w:rsidRPr="00C14D55">
        <w:rPr>
          <w:lang w:val="en-AU"/>
        </w:rPr>
        <w:t>.</w:t>
      </w:r>
    </w:p>
    <w:p w14:paraId="77B09172" w14:textId="77777777" w:rsidR="00EF04EB" w:rsidRPr="00C14D55" w:rsidRDefault="00EF04EB" w:rsidP="00EF04EB">
      <w:pPr>
        <w:pStyle w:val="VCAAHeading2"/>
        <w:rPr>
          <w:lang w:val="en-AU"/>
        </w:rPr>
      </w:pPr>
      <w:bookmarkStart w:id="13" w:name="_Toc130815855"/>
      <w:bookmarkStart w:id="14" w:name="_Toc159241218"/>
      <w:bookmarkStart w:id="15" w:name="_Toc399417878"/>
      <w:r w:rsidRPr="00C14D55">
        <w:rPr>
          <w:lang w:val="en-AU"/>
        </w:rPr>
        <w:t>Other sources of information</w:t>
      </w:r>
      <w:bookmarkEnd w:id="13"/>
      <w:bookmarkEnd w:id="14"/>
    </w:p>
    <w:p w14:paraId="4BC8B4C2" w14:textId="470110FF" w:rsidR="00EF04EB" w:rsidRPr="00C14D55" w:rsidRDefault="00EF04EB" w:rsidP="00EF04EB">
      <w:pPr>
        <w:pStyle w:val="VCAAbody"/>
        <w:rPr>
          <w:rFonts w:ascii="HelveticaNeue LT 55 Roman" w:hAnsi="HelveticaNeue LT 55 Roman" w:cs="HelveticaNeue LT 55 Roman"/>
          <w:lang w:val="en-AU"/>
        </w:rPr>
      </w:pPr>
      <w:r w:rsidRPr="00C14D55">
        <w:rPr>
          <w:lang w:val="en-AU"/>
        </w:rPr>
        <w:t xml:space="preserve">The </w:t>
      </w:r>
      <w:hyperlink r:id="rId17" w:history="1">
        <w:r w:rsidRPr="00C14D55">
          <w:rPr>
            <w:rStyle w:val="Hyperlink"/>
            <w:i/>
            <w:u w:color="0000FF"/>
            <w:lang w:val="en-AU"/>
          </w:rPr>
          <w:t>VCAA Bulletin</w:t>
        </w:r>
      </w:hyperlink>
      <w:r w:rsidRPr="00C14D55">
        <w:rPr>
          <w:lang w:val="en-AU"/>
        </w:rPr>
        <w:t xml:space="preserve"> is the only official source of changes to regulations and accredited studies. The </w:t>
      </w:r>
      <w:r w:rsidRPr="00C14D55">
        <w:rPr>
          <w:rStyle w:val="Bodyitalic"/>
          <w:rFonts w:asciiTheme="minorHAnsi" w:hAnsiTheme="minorHAnsi" w:cstheme="minorHAnsi"/>
          <w:i w:val="0"/>
          <w:lang w:val="en-AU"/>
        </w:rPr>
        <w:t>Bulletin</w:t>
      </w:r>
      <w:r w:rsidRPr="00C14D55">
        <w:rPr>
          <w:lang w:val="en-AU"/>
        </w:rPr>
        <w:t xml:space="preserve"> also regularly includes advice on VCE studies. It is the responsibility of each VCE teacher to refer to each issue of the </w:t>
      </w:r>
      <w:r w:rsidRPr="00C14D55">
        <w:rPr>
          <w:rStyle w:val="Bodyitalic"/>
          <w:rFonts w:asciiTheme="minorHAnsi" w:hAnsiTheme="minorHAnsi" w:cstheme="minorHAnsi"/>
          <w:i w:val="0"/>
          <w:lang w:val="en-AU"/>
        </w:rPr>
        <w:t>Bulletin</w:t>
      </w:r>
      <w:r w:rsidRPr="00C14D55">
        <w:rPr>
          <w:lang w:val="en-AU"/>
        </w:rPr>
        <w:t xml:space="preserve">. </w:t>
      </w:r>
      <w:r w:rsidR="005A3151" w:rsidRPr="00C14D55">
        <w:rPr>
          <w:lang w:val="en-AU"/>
        </w:rPr>
        <w:t xml:space="preserve">The Bulletin is available as an e-newsletter via </w:t>
      </w:r>
      <w:hyperlink r:id="rId18" w:history="1">
        <w:r w:rsidR="005A3151" w:rsidRPr="00C14D55">
          <w:rPr>
            <w:rStyle w:val="Hyperlink"/>
            <w:lang w:val="en-AU"/>
          </w:rPr>
          <w:t>free subscription</w:t>
        </w:r>
      </w:hyperlink>
      <w:r w:rsidR="005A3151" w:rsidRPr="00C14D55">
        <w:rPr>
          <w:lang w:val="en-AU"/>
        </w:rPr>
        <w:t xml:space="preserve"> on the V</w:t>
      </w:r>
      <w:r w:rsidR="00136CC8" w:rsidRPr="00C14D55">
        <w:rPr>
          <w:lang w:val="en-AU"/>
        </w:rPr>
        <w:t>CAA</w:t>
      </w:r>
      <w:r w:rsidR="005A3151" w:rsidRPr="00C14D55">
        <w:rPr>
          <w:lang w:val="en-AU"/>
        </w:rPr>
        <w:t xml:space="preserve"> website.</w:t>
      </w:r>
    </w:p>
    <w:p w14:paraId="6DCB47EC" w14:textId="6752C23A" w:rsidR="00EF04EB" w:rsidRPr="00C14D55" w:rsidRDefault="00EF04EB" w:rsidP="00EF04EB">
      <w:pPr>
        <w:pStyle w:val="VCAAbody"/>
        <w:rPr>
          <w:rFonts w:ascii="HelveticaNeue LT 55 Roman" w:hAnsi="HelveticaNeue LT 55 Roman" w:cs="HelveticaNeue LT 55 Roman"/>
          <w:lang w:val="en-AU"/>
        </w:rPr>
      </w:pPr>
      <w:r w:rsidRPr="00C14D55">
        <w:rPr>
          <w:lang w:val="en-AU"/>
        </w:rPr>
        <w:t xml:space="preserve">To assist teachers in developing courses, the VCAA publishes online </w:t>
      </w:r>
      <w:bookmarkStart w:id="16" w:name="_Hlk141254940"/>
      <w:r w:rsidR="00544D03">
        <w:fldChar w:fldCharType="begin"/>
      </w:r>
      <w:r w:rsidR="00544D03">
        <w:instrText>HYPERLINK "https://www.vcaa.vic.edu.au/curriculum/vce/vce-study-designs/health-human-development/Pages/Index.aspx"</w:instrText>
      </w:r>
      <w:r w:rsidR="00544D03">
        <w:fldChar w:fldCharType="separate"/>
      </w:r>
      <w:r w:rsidR="00CB7ED3" w:rsidRPr="00C14D55">
        <w:rPr>
          <w:rStyle w:val="Hyperlink"/>
          <w:lang w:val="en-AU"/>
        </w:rPr>
        <w:t>Support materials</w:t>
      </w:r>
      <w:r w:rsidR="00544D03">
        <w:rPr>
          <w:rStyle w:val="Hyperlink"/>
          <w:lang w:val="en-AU"/>
        </w:rPr>
        <w:fldChar w:fldCharType="end"/>
      </w:r>
      <w:bookmarkEnd w:id="16"/>
      <w:r w:rsidR="00183D25" w:rsidRPr="00C14D55">
        <w:rPr>
          <w:lang w:val="en-AU"/>
        </w:rPr>
        <w:t xml:space="preserve"> (incorporating the </w:t>
      </w:r>
      <w:r w:rsidR="001A68AE" w:rsidRPr="00C14D55">
        <w:rPr>
          <w:lang w:val="en-AU"/>
        </w:rPr>
        <w:t xml:space="preserve">content </w:t>
      </w:r>
      <w:r w:rsidR="00183D25" w:rsidRPr="00C14D55">
        <w:rPr>
          <w:lang w:val="en-AU"/>
        </w:rPr>
        <w:t xml:space="preserve">previously </w:t>
      </w:r>
      <w:r w:rsidR="001A68AE" w:rsidRPr="00C14D55">
        <w:rPr>
          <w:lang w:val="en-AU"/>
        </w:rPr>
        <w:t>supplied in the</w:t>
      </w:r>
      <w:r w:rsidR="00183D25" w:rsidRPr="00C14D55">
        <w:rPr>
          <w:lang w:val="en-AU"/>
        </w:rPr>
        <w:t xml:space="preserve"> </w:t>
      </w:r>
      <w:r w:rsidR="00183D25" w:rsidRPr="00C14D55">
        <w:rPr>
          <w:i/>
          <w:lang w:val="en-AU"/>
        </w:rPr>
        <w:t>Advice for teachers</w:t>
      </w:r>
      <w:r w:rsidR="00183D25" w:rsidRPr="00C14D55">
        <w:rPr>
          <w:lang w:val="en-AU"/>
        </w:rPr>
        <w:t>).</w:t>
      </w:r>
    </w:p>
    <w:p w14:paraId="2A931395" w14:textId="030E3D49" w:rsidR="00EF04EB" w:rsidRPr="00C14D55" w:rsidRDefault="00EF04EB" w:rsidP="00EF04EB">
      <w:pPr>
        <w:pStyle w:val="VCAAbody"/>
        <w:rPr>
          <w:lang w:val="en-AU"/>
        </w:rPr>
      </w:pPr>
      <w:r w:rsidRPr="00C14D55">
        <w:rPr>
          <w:lang w:val="en-AU"/>
        </w:rPr>
        <w:t xml:space="preserve">The current </w:t>
      </w:r>
      <w:hyperlink r:id="rId19" w:history="1">
        <w:r w:rsidR="004B78A4">
          <w:rPr>
            <w:rStyle w:val="Hyperlink"/>
            <w:i/>
            <w:u w:color="0000FF"/>
            <w:lang w:val="en-AU"/>
          </w:rPr>
          <w:t>VCE Administrative Handbook</w:t>
        </w:r>
      </w:hyperlink>
      <w:r w:rsidRPr="00C14D55">
        <w:rPr>
          <w:lang w:val="en-AU"/>
        </w:rPr>
        <w:t xml:space="preserve"> contains essential information on assessment processes and other procedures.</w:t>
      </w:r>
    </w:p>
    <w:p w14:paraId="676315B7" w14:textId="77777777" w:rsidR="00EF04EB" w:rsidRPr="00C14D55" w:rsidRDefault="00EF04EB" w:rsidP="00791168">
      <w:pPr>
        <w:pStyle w:val="VCAAHeading2"/>
      </w:pPr>
      <w:bookmarkStart w:id="17" w:name="_Toc159241219"/>
      <w:r w:rsidRPr="00C14D55">
        <w:t>VCE providers</w:t>
      </w:r>
      <w:bookmarkEnd w:id="17"/>
    </w:p>
    <w:p w14:paraId="5F44FE79" w14:textId="098BA21B" w:rsidR="00EF04EB" w:rsidRPr="00C14D55" w:rsidRDefault="00EF04EB" w:rsidP="00EF04EB">
      <w:pPr>
        <w:pStyle w:val="VCAAbody"/>
        <w:rPr>
          <w:lang w:val="en-AU"/>
        </w:rPr>
      </w:pPr>
      <w:r w:rsidRPr="00C14D55">
        <w:rPr>
          <w:lang w:val="en-AU"/>
        </w:rPr>
        <w:t>Throughout this study design the term ‘school’ is intended to include both schools and other VCE providers.</w:t>
      </w:r>
    </w:p>
    <w:p w14:paraId="74E33E7F" w14:textId="77777777" w:rsidR="00EF04EB" w:rsidRPr="00C14D55" w:rsidRDefault="00EF04EB" w:rsidP="00791168">
      <w:pPr>
        <w:pStyle w:val="VCAAHeading2"/>
      </w:pPr>
      <w:bookmarkStart w:id="18" w:name="_Toc159241220"/>
      <w:r w:rsidRPr="00C14D55">
        <w:t>Copyright</w:t>
      </w:r>
      <w:bookmarkEnd w:id="18"/>
    </w:p>
    <w:p w14:paraId="4CE18679" w14:textId="3EDC5EAF" w:rsidR="00EF04EB" w:rsidRPr="00C14D55" w:rsidRDefault="00C14125" w:rsidP="00EF04EB">
      <w:pPr>
        <w:pStyle w:val="VCAAbody"/>
        <w:rPr>
          <w:lang w:val="en-AU"/>
        </w:rPr>
      </w:pPr>
      <w:r w:rsidRPr="00C14D55">
        <w:rPr>
          <w:lang w:val="en-AU"/>
        </w:rPr>
        <w:t>S</w:t>
      </w:r>
      <w:r w:rsidR="00EF04EB" w:rsidRPr="00C14D55">
        <w:rPr>
          <w:lang w:val="en-AU"/>
        </w:rPr>
        <w:t xml:space="preserve">chools may </w:t>
      </w:r>
      <w:r w:rsidRPr="00C14D55">
        <w:rPr>
          <w:lang w:val="en-AU"/>
        </w:rPr>
        <w:t>use this VCE study design in accordance with the VCAA educational allowance, including making copies for students and use within the school’s secure online teaching and learning environment.</w:t>
      </w:r>
      <w:r w:rsidR="00EF04EB" w:rsidRPr="00C14D55">
        <w:rPr>
          <w:lang w:val="en-AU"/>
        </w:rPr>
        <w:t xml:space="preserve"> </w:t>
      </w:r>
      <w:r w:rsidR="00B847EA" w:rsidRPr="00C14D55">
        <w:rPr>
          <w:lang w:val="en-AU"/>
        </w:rPr>
        <w:t>For details, access t</w:t>
      </w:r>
      <w:r w:rsidR="005A3151" w:rsidRPr="00C14D55">
        <w:rPr>
          <w:lang w:val="en-AU"/>
        </w:rPr>
        <w:t xml:space="preserve">he full </w:t>
      </w:r>
      <w:hyperlink r:id="rId20" w:history="1">
        <w:r w:rsidR="005A3151" w:rsidRPr="00C14D55">
          <w:rPr>
            <w:rStyle w:val="Hyperlink"/>
            <w:lang w:val="en-AU"/>
          </w:rPr>
          <w:t xml:space="preserve">VCAA </w:t>
        </w:r>
        <w:r w:rsidR="00136CC8" w:rsidRPr="00C14D55">
          <w:rPr>
            <w:rStyle w:val="Hyperlink"/>
            <w:lang w:val="en-AU"/>
          </w:rPr>
          <w:t>c</w:t>
        </w:r>
        <w:r w:rsidR="005A3151" w:rsidRPr="00C14D55">
          <w:rPr>
            <w:rStyle w:val="Hyperlink"/>
            <w:lang w:val="en-AU"/>
          </w:rPr>
          <w:t xml:space="preserve">opyright </w:t>
        </w:r>
        <w:r w:rsidR="00136CC8" w:rsidRPr="00C14D55">
          <w:rPr>
            <w:rStyle w:val="Hyperlink"/>
            <w:lang w:val="en-AU"/>
          </w:rPr>
          <w:t>p</w:t>
        </w:r>
        <w:r w:rsidR="005A3151" w:rsidRPr="00C14D55">
          <w:rPr>
            <w:rStyle w:val="Hyperlink"/>
            <w:lang w:val="en-AU"/>
          </w:rPr>
          <w:t>olicy</w:t>
        </w:r>
      </w:hyperlink>
      <w:r w:rsidR="005A3151" w:rsidRPr="00C14D55">
        <w:rPr>
          <w:lang w:val="en-AU"/>
        </w:rPr>
        <w:t xml:space="preserve"> on the VCAA website.</w:t>
      </w:r>
    </w:p>
    <w:bookmarkEnd w:id="15"/>
    <w:p w14:paraId="2B976676" w14:textId="02F09EDC" w:rsidR="00EF04EB" w:rsidRPr="00C14D55" w:rsidRDefault="00EF04EB">
      <w:pPr>
        <w:rPr>
          <w:rFonts w:ascii="Arial" w:hAnsi="Arial" w:cs="Arial"/>
          <w:noProof/>
          <w:sz w:val="18"/>
          <w:szCs w:val="18"/>
        </w:rPr>
      </w:pPr>
      <w:r w:rsidRPr="00C14D55">
        <w:rPr>
          <w:rFonts w:ascii="Arial" w:hAnsi="Arial" w:cs="Arial"/>
          <w:noProof/>
          <w:sz w:val="18"/>
          <w:szCs w:val="18"/>
        </w:rPr>
        <w:br w:type="page"/>
      </w:r>
    </w:p>
    <w:p w14:paraId="52344014" w14:textId="77777777" w:rsidR="00EF04EB" w:rsidRPr="00C14D55" w:rsidRDefault="00EF04EB" w:rsidP="00EF04EB">
      <w:pPr>
        <w:pStyle w:val="VCAAHeading1"/>
        <w:rPr>
          <w:lang w:val="en-AU"/>
        </w:rPr>
      </w:pPr>
      <w:bookmarkStart w:id="19" w:name="_Toc159241221"/>
      <w:r w:rsidRPr="00C14D55">
        <w:rPr>
          <w:lang w:val="en-AU"/>
        </w:rPr>
        <w:lastRenderedPageBreak/>
        <w:t>Introduction</w:t>
      </w:r>
      <w:bookmarkEnd w:id="19"/>
    </w:p>
    <w:p w14:paraId="398B0F11" w14:textId="77777777" w:rsidR="00EF04EB" w:rsidRPr="00C14D55" w:rsidRDefault="00EF04EB" w:rsidP="00EF04EB">
      <w:pPr>
        <w:pStyle w:val="VCAAHeading2"/>
        <w:rPr>
          <w:lang w:val="en-AU"/>
        </w:rPr>
      </w:pPr>
      <w:bookmarkStart w:id="20" w:name="_Toc159241222"/>
      <w:r w:rsidRPr="00C14D55">
        <w:rPr>
          <w:lang w:val="en-AU"/>
        </w:rPr>
        <w:t>Scope of study</w:t>
      </w:r>
      <w:bookmarkEnd w:id="20"/>
    </w:p>
    <w:p w14:paraId="22C48973" w14:textId="51081D86" w:rsidR="000C751B" w:rsidRPr="00C14D55" w:rsidRDefault="000C751B" w:rsidP="00CD4903">
      <w:pPr>
        <w:pStyle w:val="VCAAbody"/>
        <w:ind w:right="563"/>
        <w:rPr>
          <w:strike/>
          <w:lang w:val="en-AU"/>
        </w:rPr>
      </w:pPr>
      <w:bookmarkStart w:id="21" w:name="_Hlk141254963"/>
      <w:bookmarkEnd w:id="10"/>
      <w:r w:rsidRPr="00C14D55">
        <w:rPr>
          <w:lang w:val="en-AU"/>
        </w:rPr>
        <w:t>VCE Health and Human Development takes a broad and multidimensional approach to defining and understanding healt</w:t>
      </w:r>
      <w:r w:rsidR="006315F7">
        <w:rPr>
          <w:lang w:val="en-AU"/>
        </w:rPr>
        <w:t>h</w:t>
      </w:r>
      <w:r w:rsidRPr="00C14D55">
        <w:rPr>
          <w:lang w:val="en-AU"/>
        </w:rPr>
        <w:t>. Students investigate the World Health Organi</w:t>
      </w:r>
      <w:r w:rsidR="009476C9" w:rsidRPr="00C14D55">
        <w:rPr>
          <w:lang w:val="en-AU"/>
        </w:rPr>
        <w:t>z</w:t>
      </w:r>
      <w:r w:rsidRPr="00C14D55">
        <w:rPr>
          <w:lang w:val="en-AU"/>
        </w:rPr>
        <w:t>ation’s</w:t>
      </w:r>
      <w:r w:rsidR="006315F7">
        <w:rPr>
          <w:lang w:val="en-AU"/>
        </w:rPr>
        <w:t xml:space="preserve"> (WHO)</w:t>
      </w:r>
      <w:r w:rsidRPr="00C14D55">
        <w:rPr>
          <w:lang w:val="en-AU"/>
        </w:rPr>
        <w:t xml:space="preserve"> definition and other interpretations of health and wellbeing. For the purposes of this study, students consider wellbeing to be an implicit element of health. </w:t>
      </w:r>
    </w:p>
    <w:p w14:paraId="68D9D7C4" w14:textId="1CAB2BDF" w:rsidR="000C751B" w:rsidRPr="00C14D55" w:rsidRDefault="000C751B" w:rsidP="000C751B">
      <w:pPr>
        <w:pStyle w:val="VCAAbody"/>
        <w:rPr>
          <w:lang w:val="en-AU"/>
        </w:rPr>
      </w:pPr>
      <w:r w:rsidRPr="00C14D55">
        <w:rPr>
          <w:lang w:val="en-AU"/>
        </w:rPr>
        <w:t>Students examine health</w:t>
      </w:r>
      <w:r w:rsidR="00C2663B">
        <w:rPr>
          <w:lang w:val="en-AU"/>
        </w:rPr>
        <w:t xml:space="preserve"> (including the concepts of health</w:t>
      </w:r>
      <w:r w:rsidRPr="00C14D55">
        <w:rPr>
          <w:lang w:val="en-AU"/>
        </w:rPr>
        <w:t xml:space="preserve"> and wellbeing</w:t>
      </w:r>
      <w:r w:rsidR="00E83674">
        <w:rPr>
          <w:lang w:val="en-AU"/>
        </w:rPr>
        <w:t>,</w:t>
      </w:r>
      <w:r w:rsidR="00C2663B">
        <w:rPr>
          <w:lang w:val="en-AU"/>
        </w:rPr>
        <w:t xml:space="preserve"> and health status)</w:t>
      </w:r>
      <w:r w:rsidRPr="00C14D55">
        <w:rPr>
          <w:lang w:val="en-AU"/>
        </w:rPr>
        <w:t xml:space="preserve"> and human development as dynamic concepts</w:t>
      </w:r>
      <w:r w:rsidR="00CE023D">
        <w:rPr>
          <w:lang w:val="en-AU"/>
        </w:rPr>
        <w:t xml:space="preserve"> that are </w:t>
      </w:r>
      <w:r w:rsidRPr="00C14D55">
        <w:rPr>
          <w:lang w:val="en-AU"/>
        </w:rPr>
        <w:t xml:space="preserve">subject to a complex interplay of biological, </w:t>
      </w:r>
      <w:proofErr w:type="gramStart"/>
      <w:r w:rsidRPr="00C14D55">
        <w:rPr>
          <w:lang w:val="en-AU"/>
        </w:rPr>
        <w:t>sociocultural</w:t>
      </w:r>
      <w:proofErr w:type="gramEnd"/>
      <w:r w:rsidR="00A14D91">
        <w:rPr>
          <w:lang w:val="en-AU"/>
        </w:rPr>
        <w:t xml:space="preserve"> and </w:t>
      </w:r>
      <w:r w:rsidRPr="00C14D55">
        <w:rPr>
          <w:lang w:val="en-AU"/>
        </w:rPr>
        <w:t>environmental</w:t>
      </w:r>
      <w:r w:rsidR="006315F7">
        <w:rPr>
          <w:lang w:val="en-AU"/>
        </w:rPr>
        <w:t xml:space="preserve"> factors</w:t>
      </w:r>
      <w:r w:rsidR="00CE023D">
        <w:rPr>
          <w:lang w:val="en-AU"/>
        </w:rPr>
        <w:t>, many of which can be acted upon by</w:t>
      </w:r>
      <w:r w:rsidRPr="00C14D55">
        <w:rPr>
          <w:lang w:val="en-AU"/>
        </w:rPr>
        <w:t xml:space="preserve"> people, communities and governments. </w:t>
      </w:r>
      <w:r w:rsidR="00CE023D">
        <w:rPr>
          <w:lang w:val="en-AU"/>
        </w:rPr>
        <w:t>Students</w:t>
      </w:r>
      <w:r w:rsidR="004A55FF" w:rsidRPr="00C14D55">
        <w:rPr>
          <w:lang w:val="en-AU"/>
        </w:rPr>
        <w:t xml:space="preserve"> </w:t>
      </w:r>
      <w:r w:rsidRPr="00C14D55">
        <w:rPr>
          <w:lang w:val="en-AU"/>
        </w:rPr>
        <w:t xml:space="preserve">consider the interaction </w:t>
      </w:r>
      <w:r w:rsidR="00CE023D">
        <w:rPr>
          <w:lang w:val="en-AU"/>
        </w:rPr>
        <w:t>between</w:t>
      </w:r>
      <w:r w:rsidR="00CE023D" w:rsidRPr="00C14D55">
        <w:rPr>
          <w:lang w:val="en-AU"/>
        </w:rPr>
        <w:t xml:space="preserve"> </w:t>
      </w:r>
      <w:r w:rsidRPr="00C14D55">
        <w:rPr>
          <w:lang w:val="en-AU"/>
        </w:rPr>
        <w:t>these factors</w:t>
      </w:r>
      <w:r w:rsidR="00E91AFF">
        <w:rPr>
          <w:lang w:val="en-AU"/>
        </w:rPr>
        <w:t xml:space="preserve"> and</w:t>
      </w:r>
      <w:r w:rsidRPr="00C14D55">
        <w:rPr>
          <w:lang w:val="en-AU"/>
        </w:rPr>
        <w:t xml:space="preserve"> </w:t>
      </w:r>
      <w:r w:rsidR="00CE023D">
        <w:rPr>
          <w:lang w:val="en-AU"/>
        </w:rPr>
        <w:t>learn</w:t>
      </w:r>
      <w:r w:rsidR="00CE023D" w:rsidRPr="00C14D55">
        <w:rPr>
          <w:lang w:val="en-AU"/>
        </w:rPr>
        <w:t xml:space="preserve"> </w:t>
      </w:r>
      <w:r w:rsidRPr="00C14D55">
        <w:rPr>
          <w:lang w:val="en-AU"/>
        </w:rPr>
        <w:t>that health and human development is complex and influenced by the settings in which people are born, grow, live, work and age.</w:t>
      </w:r>
    </w:p>
    <w:p w14:paraId="083775FD" w14:textId="78E58C16" w:rsidR="000C751B" w:rsidRPr="00C14D55" w:rsidRDefault="000C751B" w:rsidP="000C751B">
      <w:pPr>
        <w:pStyle w:val="VCAAbody"/>
        <w:rPr>
          <w:lang w:val="en-AU"/>
        </w:rPr>
      </w:pPr>
      <w:r w:rsidRPr="00C14D55">
        <w:rPr>
          <w:lang w:val="en-AU"/>
        </w:rPr>
        <w:t>Students consider Australian and global contexts as they investigate health outcomes</w:t>
      </w:r>
      <w:r w:rsidR="004B1355">
        <w:rPr>
          <w:lang w:val="en-AU"/>
        </w:rPr>
        <w:t xml:space="preserve"> and</w:t>
      </w:r>
      <w:r w:rsidRPr="00C14D55">
        <w:rPr>
          <w:lang w:val="en-AU"/>
        </w:rPr>
        <w:t xml:space="preserve"> examine the Australian healthcare system </w:t>
      </w:r>
      <w:r w:rsidR="004B1355">
        <w:rPr>
          <w:lang w:val="en-AU"/>
        </w:rPr>
        <w:t>to help</w:t>
      </w:r>
      <w:r w:rsidR="004B1355" w:rsidRPr="00C14D55">
        <w:rPr>
          <w:lang w:val="en-AU"/>
        </w:rPr>
        <w:t xml:space="preserve"> </w:t>
      </w:r>
      <w:r w:rsidRPr="00C14D55">
        <w:rPr>
          <w:lang w:val="en-AU"/>
        </w:rPr>
        <w:t xml:space="preserve">evaluate what is being done to address health inequity and </w:t>
      </w:r>
      <w:r w:rsidR="0073631E" w:rsidRPr="00C14D55">
        <w:rPr>
          <w:lang w:val="en-AU"/>
        </w:rPr>
        <w:t>inequalit</w:t>
      </w:r>
      <w:r w:rsidR="0073631E">
        <w:rPr>
          <w:lang w:val="en-AU"/>
        </w:rPr>
        <w:t>y</w:t>
      </w:r>
      <w:r w:rsidRPr="00C14D55">
        <w:rPr>
          <w:lang w:val="en-AU"/>
        </w:rPr>
        <w:t xml:space="preserve">. They examine and evaluate the work of global health organisations and the Australian </w:t>
      </w:r>
      <w:r w:rsidR="00CA4F60">
        <w:rPr>
          <w:lang w:val="en-AU"/>
        </w:rPr>
        <w:t>G</w:t>
      </w:r>
      <w:r w:rsidR="00CA4F60" w:rsidRPr="00C14D55">
        <w:rPr>
          <w:lang w:val="en-AU"/>
        </w:rPr>
        <w:t>overnment</w:t>
      </w:r>
      <w:r w:rsidRPr="00C14D55">
        <w:rPr>
          <w:lang w:val="en-AU"/>
        </w:rPr>
        <w:t xml:space="preserve">’s overseas aid program. </w:t>
      </w:r>
    </w:p>
    <w:p w14:paraId="302008FB" w14:textId="0CA4A631" w:rsidR="000C751B" w:rsidRPr="00C14D55" w:rsidRDefault="000C751B" w:rsidP="000C751B">
      <w:pPr>
        <w:pStyle w:val="VCAAbody"/>
        <w:rPr>
          <w:lang w:val="en-AU"/>
        </w:rPr>
      </w:pPr>
      <w:r w:rsidRPr="00C14D55">
        <w:rPr>
          <w:lang w:val="en-AU"/>
        </w:rPr>
        <w:t xml:space="preserve">This study presents concepts of health and wellbeing, and human development, from a range of perspectives: individual and collective; local, </w:t>
      </w:r>
      <w:proofErr w:type="gramStart"/>
      <w:r w:rsidRPr="00C14D55">
        <w:rPr>
          <w:lang w:val="en-AU"/>
        </w:rPr>
        <w:t>national</w:t>
      </w:r>
      <w:proofErr w:type="gramEnd"/>
      <w:r w:rsidRPr="00C14D55">
        <w:rPr>
          <w:lang w:val="en-AU"/>
        </w:rPr>
        <w:t xml:space="preserve"> and global; and across time and </w:t>
      </w:r>
      <w:r w:rsidR="00CE023D">
        <w:rPr>
          <w:lang w:val="en-AU"/>
        </w:rPr>
        <w:t xml:space="preserve">human </w:t>
      </w:r>
      <w:r w:rsidRPr="00C14D55">
        <w:rPr>
          <w:lang w:val="en-AU"/>
        </w:rPr>
        <w:t xml:space="preserve">lifespan. Students develop health literacy as they connect their learning to their lives, </w:t>
      </w:r>
      <w:proofErr w:type="gramStart"/>
      <w:r w:rsidRPr="00C14D55">
        <w:rPr>
          <w:lang w:val="en-AU"/>
        </w:rPr>
        <w:t>communities</w:t>
      </w:r>
      <w:proofErr w:type="gramEnd"/>
      <w:r w:rsidRPr="00C14D55">
        <w:rPr>
          <w:lang w:val="en-AU"/>
        </w:rPr>
        <w:t xml:space="preserve"> and world. They develop a capacity to </w:t>
      </w:r>
      <w:r w:rsidR="006315F7">
        <w:rPr>
          <w:lang w:val="en-AU"/>
        </w:rPr>
        <w:t xml:space="preserve">critique and </w:t>
      </w:r>
      <w:r w:rsidRPr="00C14D55">
        <w:rPr>
          <w:lang w:val="en-AU"/>
        </w:rPr>
        <w:t xml:space="preserve">respond to health information, </w:t>
      </w:r>
      <w:proofErr w:type="gramStart"/>
      <w:r w:rsidRPr="00C14D55">
        <w:rPr>
          <w:lang w:val="en-AU"/>
        </w:rPr>
        <w:t>advertising</w:t>
      </w:r>
      <w:proofErr w:type="gramEnd"/>
      <w:r w:rsidRPr="00C14D55">
        <w:rPr>
          <w:lang w:val="en-AU"/>
        </w:rPr>
        <w:t xml:space="preserve"> and other media messages, </w:t>
      </w:r>
      <w:r w:rsidR="0020457C">
        <w:rPr>
          <w:lang w:val="en-AU"/>
        </w:rPr>
        <w:t>which enables</w:t>
      </w:r>
      <w:r w:rsidR="0020457C" w:rsidRPr="00C14D55">
        <w:rPr>
          <w:lang w:val="en-AU"/>
        </w:rPr>
        <w:t xml:space="preserve"> </w:t>
      </w:r>
      <w:r w:rsidRPr="00C14D55">
        <w:rPr>
          <w:lang w:val="en-AU"/>
        </w:rPr>
        <w:t xml:space="preserve">them to put strategies into action to address health and wellbeing at a personal, community </w:t>
      </w:r>
      <w:r w:rsidR="00AB5DFD">
        <w:rPr>
          <w:lang w:val="en-AU"/>
        </w:rPr>
        <w:t>and</w:t>
      </w:r>
      <w:r w:rsidR="00AB5DFD" w:rsidRPr="00C14D55">
        <w:rPr>
          <w:lang w:val="en-AU"/>
        </w:rPr>
        <w:t xml:space="preserve"> </w:t>
      </w:r>
      <w:r w:rsidRPr="00C14D55">
        <w:rPr>
          <w:lang w:val="en-AU"/>
        </w:rPr>
        <w:t>global level.</w:t>
      </w:r>
      <w:bookmarkEnd w:id="21"/>
    </w:p>
    <w:p w14:paraId="580563AB" w14:textId="77777777" w:rsidR="000C751B" w:rsidRPr="00C14D55" w:rsidRDefault="000C751B" w:rsidP="000C751B">
      <w:pPr>
        <w:pStyle w:val="VCAAHeading2"/>
        <w:rPr>
          <w:lang w:val="en-AU"/>
        </w:rPr>
      </w:pPr>
      <w:bookmarkStart w:id="22" w:name="_Toc159241223"/>
      <w:r w:rsidRPr="00C14D55">
        <w:rPr>
          <w:lang w:val="en-AU"/>
        </w:rPr>
        <w:t>Rationale</w:t>
      </w:r>
      <w:bookmarkEnd w:id="22"/>
    </w:p>
    <w:p w14:paraId="61CD72D5" w14:textId="264511F8" w:rsidR="000C751B" w:rsidRPr="00C14D55" w:rsidRDefault="000C751B" w:rsidP="000C751B">
      <w:pPr>
        <w:pStyle w:val="VCAAbody"/>
        <w:rPr>
          <w:lang w:val="en-AU"/>
        </w:rPr>
      </w:pPr>
      <w:bookmarkStart w:id="23" w:name="_Hlk141254977"/>
      <w:r w:rsidRPr="00C14D55">
        <w:rPr>
          <w:lang w:val="en-AU"/>
        </w:rPr>
        <w:t xml:space="preserve">VCE Health and Human Development provides students with </w:t>
      </w:r>
      <w:r w:rsidR="00F02F6D">
        <w:rPr>
          <w:lang w:val="en-AU"/>
        </w:rPr>
        <w:t xml:space="preserve">a </w:t>
      </w:r>
      <w:r w:rsidRPr="00C14D55">
        <w:rPr>
          <w:lang w:val="en-AU"/>
        </w:rPr>
        <w:t>broad understanding of health and wellbeing that reach</w:t>
      </w:r>
      <w:r w:rsidR="00F02F6D">
        <w:rPr>
          <w:lang w:val="en-AU"/>
        </w:rPr>
        <w:t>es</w:t>
      </w:r>
      <w:r w:rsidRPr="00C14D55">
        <w:rPr>
          <w:lang w:val="en-AU"/>
        </w:rPr>
        <w:t xml:space="preserve"> far beyond the individual. </w:t>
      </w:r>
      <w:r w:rsidR="00C9052F">
        <w:rPr>
          <w:lang w:val="en-AU"/>
        </w:rPr>
        <w:t>They</w:t>
      </w:r>
      <w:r w:rsidR="00C9052F" w:rsidRPr="00C14D55">
        <w:rPr>
          <w:lang w:val="en-AU"/>
        </w:rPr>
        <w:t xml:space="preserve"> </w:t>
      </w:r>
      <w:r w:rsidRPr="00C14D55">
        <w:rPr>
          <w:lang w:val="en-AU"/>
        </w:rPr>
        <w:t xml:space="preserve">learn how important health and wellbeing is to themselves and to families, communities, </w:t>
      </w:r>
      <w:proofErr w:type="gramStart"/>
      <w:r w:rsidRPr="00C14D55">
        <w:rPr>
          <w:lang w:val="en-AU"/>
        </w:rPr>
        <w:t>nations</w:t>
      </w:r>
      <w:proofErr w:type="gramEnd"/>
      <w:r w:rsidRPr="00C14D55">
        <w:rPr>
          <w:lang w:val="en-AU"/>
        </w:rPr>
        <w:t xml:space="preserve"> and global society. Students explore the complex interplay of biological, </w:t>
      </w:r>
      <w:proofErr w:type="gramStart"/>
      <w:r w:rsidRPr="00C14D55">
        <w:rPr>
          <w:lang w:val="en-AU"/>
        </w:rPr>
        <w:t>sociocultural</w:t>
      </w:r>
      <w:proofErr w:type="gramEnd"/>
      <w:r w:rsidR="006315F7">
        <w:rPr>
          <w:lang w:val="en-AU"/>
        </w:rPr>
        <w:t xml:space="preserve"> and </w:t>
      </w:r>
      <w:r w:rsidRPr="00C14D55">
        <w:rPr>
          <w:lang w:val="en-AU"/>
        </w:rPr>
        <w:t>environmental factors that support and improve health and wellbeing</w:t>
      </w:r>
      <w:r w:rsidR="0020457C">
        <w:rPr>
          <w:lang w:val="en-AU"/>
        </w:rPr>
        <w:t>,</w:t>
      </w:r>
      <w:r w:rsidRPr="00C14D55">
        <w:rPr>
          <w:lang w:val="en-AU"/>
        </w:rPr>
        <w:t xml:space="preserve"> and those that compromise</w:t>
      </w:r>
      <w:r w:rsidR="00485EED">
        <w:rPr>
          <w:lang w:val="en-AU"/>
        </w:rPr>
        <w:t xml:space="preserve"> it</w:t>
      </w:r>
      <w:r w:rsidRPr="00C14D55">
        <w:rPr>
          <w:lang w:val="en-AU"/>
        </w:rPr>
        <w:t>. The study provides opportunities for students to view health and wellbeing, and human development, holistically – across the lifespan and the globe, and through a lens of social justice.</w:t>
      </w:r>
    </w:p>
    <w:p w14:paraId="21BB3BCF" w14:textId="4E703E4F" w:rsidR="000C751B" w:rsidRPr="00C14D55" w:rsidRDefault="000C751B" w:rsidP="000C751B">
      <w:pPr>
        <w:pStyle w:val="VCAAbody"/>
        <w:rPr>
          <w:lang w:val="en-AU"/>
        </w:rPr>
      </w:pPr>
      <w:r w:rsidRPr="00C14D55">
        <w:rPr>
          <w:lang w:val="en-AU"/>
        </w:rPr>
        <w:t xml:space="preserve">VCE Health and Human Development is designed to build health </w:t>
      </w:r>
      <w:r w:rsidR="00514EBF">
        <w:rPr>
          <w:lang w:val="en-AU"/>
        </w:rPr>
        <w:t>literacy</w:t>
      </w:r>
      <w:r w:rsidRPr="00C14D55">
        <w:rPr>
          <w:lang w:val="en-AU"/>
        </w:rPr>
        <w:t xml:space="preserve">. As individuals and as citizens, </w:t>
      </w:r>
      <w:r w:rsidRPr="000F37DF">
        <w:rPr>
          <w:color w:val="auto"/>
          <w:lang w:val="en-AU"/>
        </w:rPr>
        <w:t xml:space="preserve">students develop their ability to navigate and analyse health information, to critically recognise and </w:t>
      </w:r>
      <w:r w:rsidR="00B54A3A" w:rsidRPr="000F37DF">
        <w:rPr>
          <w:color w:val="auto"/>
          <w:lang w:val="en-AU"/>
        </w:rPr>
        <w:t xml:space="preserve">carry out </w:t>
      </w:r>
      <w:r w:rsidRPr="000F37DF">
        <w:rPr>
          <w:color w:val="auto"/>
          <w:lang w:val="en-AU"/>
        </w:rPr>
        <w:t>supportive action</w:t>
      </w:r>
      <w:r w:rsidR="009476C9" w:rsidRPr="000F37DF">
        <w:rPr>
          <w:color w:val="auto"/>
          <w:lang w:val="en-AU"/>
        </w:rPr>
        <w:t>,</w:t>
      </w:r>
      <w:r w:rsidRPr="000F37DF">
        <w:rPr>
          <w:color w:val="auto"/>
          <w:lang w:val="en-AU"/>
        </w:rPr>
        <w:t xml:space="preserve"> </w:t>
      </w:r>
      <w:r w:rsidRPr="00C14D55">
        <w:rPr>
          <w:lang w:val="en-AU"/>
        </w:rPr>
        <w:t xml:space="preserve">and to evaluate healthcare initiatives and interventions. </w:t>
      </w:r>
      <w:r w:rsidR="00C9052F">
        <w:rPr>
          <w:lang w:val="en-AU"/>
        </w:rPr>
        <w:t>They</w:t>
      </w:r>
      <w:r w:rsidR="00C9052F" w:rsidRPr="00C14D55">
        <w:rPr>
          <w:lang w:val="en-AU"/>
        </w:rPr>
        <w:t xml:space="preserve"> </w:t>
      </w:r>
      <w:r w:rsidRPr="00C14D55">
        <w:rPr>
          <w:lang w:val="en-AU"/>
        </w:rPr>
        <w:t>take this capacity with them as they leave school and apply their learning in positive and resilient ways through future changes and challenges.</w:t>
      </w:r>
    </w:p>
    <w:p w14:paraId="26F2334A" w14:textId="65A237B0" w:rsidR="00F70CB6" w:rsidRDefault="000C751B" w:rsidP="000C751B">
      <w:pPr>
        <w:pStyle w:val="VCAAbody"/>
        <w:rPr>
          <w:lang w:val="en-AU"/>
        </w:rPr>
      </w:pPr>
      <w:r w:rsidRPr="00C14D55">
        <w:rPr>
          <w:lang w:val="en-AU"/>
        </w:rPr>
        <w:t>VCE Health and Human Development offers students a range of pathways including further formal study in areas such as health promotion, community health research and policy development, humanitarian aid work, allied health practices, education, and the health profession.</w:t>
      </w:r>
      <w:bookmarkEnd w:id="23"/>
      <w:r w:rsidRPr="00C14D55" w:rsidDel="00D517B8">
        <w:rPr>
          <w:lang w:val="en-AU"/>
        </w:rPr>
        <w:t xml:space="preserve"> </w:t>
      </w:r>
    </w:p>
    <w:p w14:paraId="1B3F4B68" w14:textId="77777777" w:rsidR="00F70CB6" w:rsidRDefault="00F70CB6">
      <w:pPr>
        <w:rPr>
          <w:rFonts w:ascii="Arial" w:hAnsi="Arial" w:cs="Arial"/>
          <w:color w:val="000000" w:themeColor="text1"/>
          <w:sz w:val="20"/>
        </w:rPr>
      </w:pPr>
      <w:r>
        <w:br w:type="page"/>
      </w:r>
    </w:p>
    <w:p w14:paraId="34A6757A" w14:textId="77777777" w:rsidR="000C751B" w:rsidRPr="00C14D55" w:rsidRDefault="000C751B" w:rsidP="000C751B">
      <w:pPr>
        <w:pStyle w:val="VCAAHeading2"/>
        <w:rPr>
          <w:lang w:val="en-AU"/>
        </w:rPr>
      </w:pPr>
      <w:bookmarkStart w:id="24" w:name="_Toc159241224"/>
      <w:r w:rsidRPr="00C14D55">
        <w:rPr>
          <w:lang w:val="en-AU"/>
        </w:rPr>
        <w:lastRenderedPageBreak/>
        <w:t>Aims</w:t>
      </w:r>
      <w:bookmarkEnd w:id="24"/>
    </w:p>
    <w:p w14:paraId="70F589C2" w14:textId="77777777" w:rsidR="000C751B" w:rsidRPr="00C14D55" w:rsidRDefault="000C751B" w:rsidP="000C751B">
      <w:pPr>
        <w:pStyle w:val="VCAAbody"/>
        <w:rPr>
          <w:lang w:val="en-AU"/>
        </w:rPr>
      </w:pPr>
      <w:r w:rsidRPr="00C14D55">
        <w:rPr>
          <w:lang w:val="en-AU"/>
        </w:rPr>
        <w:t>This study enables students to:</w:t>
      </w:r>
    </w:p>
    <w:p w14:paraId="16B2B969" w14:textId="20BF09A0" w:rsidR="000C751B" w:rsidRPr="00531050" w:rsidRDefault="000C751B" w:rsidP="00531050">
      <w:pPr>
        <w:pStyle w:val="VCAAbullet"/>
      </w:pPr>
      <w:bookmarkStart w:id="25" w:name="_Hlk141255003"/>
      <w:r w:rsidRPr="00531050">
        <w:t xml:space="preserve">understand the complex nature of health and human </w:t>
      </w:r>
      <w:proofErr w:type="gramStart"/>
      <w:r w:rsidRPr="00531050">
        <w:t>development</w:t>
      </w:r>
      <w:proofErr w:type="gramEnd"/>
      <w:r w:rsidRPr="00531050">
        <w:t xml:space="preserve"> </w:t>
      </w:r>
    </w:p>
    <w:p w14:paraId="617FB434" w14:textId="732A6233" w:rsidR="000C751B" w:rsidRPr="00531050" w:rsidRDefault="000C751B" w:rsidP="00531050">
      <w:pPr>
        <w:pStyle w:val="VCAAbullet"/>
      </w:pPr>
      <w:r w:rsidRPr="00531050">
        <w:t xml:space="preserve">develop a broad view of health and wellbeing, incorporating physical, social, emotional, mental and spiritual </w:t>
      </w:r>
      <w:proofErr w:type="gramStart"/>
      <w:r w:rsidRPr="00531050">
        <w:t>dimensions</w:t>
      </w:r>
      <w:proofErr w:type="gramEnd"/>
    </w:p>
    <w:p w14:paraId="7B311E88" w14:textId="78A5A7E1" w:rsidR="000C751B" w:rsidRPr="00531050" w:rsidRDefault="000C751B" w:rsidP="00531050">
      <w:pPr>
        <w:pStyle w:val="VCAAbullet"/>
      </w:pPr>
      <w:r w:rsidRPr="00531050">
        <w:t>understand the biological, sociocultural</w:t>
      </w:r>
      <w:r w:rsidR="006315F7" w:rsidRPr="00531050">
        <w:t xml:space="preserve"> </w:t>
      </w:r>
      <w:r w:rsidRPr="00531050">
        <w:t xml:space="preserve">and environmental factors that impact health and </w:t>
      </w:r>
      <w:proofErr w:type="gramStart"/>
      <w:r w:rsidRPr="00531050">
        <w:t>wellbeing</w:t>
      </w:r>
      <w:proofErr w:type="gramEnd"/>
    </w:p>
    <w:p w14:paraId="266D39F9" w14:textId="77777777" w:rsidR="000C751B" w:rsidRPr="00531050" w:rsidRDefault="000C751B" w:rsidP="00531050">
      <w:pPr>
        <w:pStyle w:val="VCAAbullet"/>
      </w:pPr>
      <w:r w:rsidRPr="00531050">
        <w:t xml:space="preserve">develop health literacy to evaluate health information and take appropriate and positive action to support health and </w:t>
      </w:r>
      <w:proofErr w:type="gramStart"/>
      <w:r w:rsidRPr="00531050">
        <w:t>wellbeing</w:t>
      </w:r>
      <w:proofErr w:type="gramEnd"/>
      <w:r w:rsidRPr="00531050">
        <w:t xml:space="preserve"> </w:t>
      </w:r>
    </w:p>
    <w:p w14:paraId="4755D4F5" w14:textId="77777777" w:rsidR="000C751B" w:rsidRPr="00531050" w:rsidRDefault="000C751B" w:rsidP="00531050">
      <w:pPr>
        <w:pStyle w:val="VCAAbullet"/>
      </w:pPr>
      <w:r w:rsidRPr="00531050">
        <w:t xml:space="preserve">develop understanding of the Australian healthcare system and the values that underpin </w:t>
      </w:r>
      <w:proofErr w:type="gramStart"/>
      <w:r w:rsidRPr="00531050">
        <w:t>it</w:t>
      </w:r>
      <w:proofErr w:type="gramEnd"/>
    </w:p>
    <w:p w14:paraId="42D78A21" w14:textId="77777777" w:rsidR="000C751B" w:rsidRPr="00531050" w:rsidRDefault="000C751B" w:rsidP="00531050">
      <w:pPr>
        <w:pStyle w:val="VCAAbullet"/>
      </w:pPr>
      <w:r w:rsidRPr="00531050">
        <w:t xml:space="preserve">apply social justice principles to identify health and wellbeing inequities and analyse health and wellbeing </w:t>
      </w:r>
      <w:proofErr w:type="gramStart"/>
      <w:r w:rsidRPr="00531050">
        <w:t>interventions</w:t>
      </w:r>
      <w:proofErr w:type="gramEnd"/>
    </w:p>
    <w:p w14:paraId="61DAE6A2" w14:textId="207B1309" w:rsidR="000C751B" w:rsidRPr="00531050" w:rsidRDefault="000C751B" w:rsidP="00531050">
      <w:pPr>
        <w:pStyle w:val="VCAAbullet"/>
      </w:pPr>
      <w:r w:rsidRPr="00531050">
        <w:t xml:space="preserve">understand the importance of the United Nations’ </w:t>
      </w:r>
      <w:r w:rsidR="0059037F" w:rsidRPr="00531050">
        <w:t xml:space="preserve">(UN’s) </w:t>
      </w:r>
      <w:r w:rsidRPr="00531050">
        <w:t xml:space="preserve">Sustainable Development Goals (SDGs) and evaluate the effectiveness of health and wellbeing initiatives and programs to support the achievement of the </w:t>
      </w:r>
      <w:proofErr w:type="gramStart"/>
      <w:r w:rsidRPr="00531050">
        <w:t>SDGs</w:t>
      </w:r>
      <w:proofErr w:type="gramEnd"/>
    </w:p>
    <w:p w14:paraId="25CEBC1B" w14:textId="77777777" w:rsidR="000C751B" w:rsidRPr="00531050" w:rsidRDefault="000C751B" w:rsidP="00531050">
      <w:pPr>
        <w:pStyle w:val="VCAAbullet"/>
      </w:pPr>
      <w:r w:rsidRPr="00531050">
        <w:t>propose and justify action to positively influence health and wellbeing, and human development, outcomes at individual, local, national and/or global levels.</w:t>
      </w:r>
      <w:bookmarkEnd w:id="25"/>
    </w:p>
    <w:p w14:paraId="071316D4" w14:textId="75609E3C" w:rsidR="000C751B" w:rsidRPr="00C14D55" w:rsidRDefault="000C751B" w:rsidP="000C751B">
      <w:pPr>
        <w:pStyle w:val="VCAAHeading2"/>
        <w:rPr>
          <w:lang w:val="en-AU"/>
        </w:rPr>
      </w:pPr>
      <w:bookmarkStart w:id="26" w:name="_Toc159241225"/>
      <w:r w:rsidRPr="00C14D55">
        <w:rPr>
          <w:lang w:val="en-AU"/>
        </w:rPr>
        <w:t>Structure</w:t>
      </w:r>
      <w:bookmarkEnd w:id="26"/>
    </w:p>
    <w:p w14:paraId="025F6D47" w14:textId="61479CC3" w:rsidR="000C751B" w:rsidRPr="00C14D55" w:rsidRDefault="000C751B" w:rsidP="000C751B">
      <w:pPr>
        <w:pStyle w:val="VCAAbody"/>
        <w:rPr>
          <w:lang w:val="en-AU"/>
        </w:rPr>
      </w:pPr>
      <w:r w:rsidRPr="00C14D55">
        <w:rPr>
          <w:lang w:val="en-AU"/>
        </w:rPr>
        <w:t xml:space="preserve">The study is made up of four units. </w:t>
      </w:r>
    </w:p>
    <w:p w14:paraId="21F0015B" w14:textId="626461B8" w:rsidR="000C751B" w:rsidRPr="00157C8F" w:rsidRDefault="000C751B" w:rsidP="00157C8F">
      <w:pPr>
        <w:pStyle w:val="VCAAbullet"/>
      </w:pPr>
      <w:r w:rsidRPr="00157C8F">
        <w:t xml:space="preserve">Unit 1: Understanding </w:t>
      </w:r>
      <w:r w:rsidR="009476C9" w:rsidRPr="00157C8F">
        <w:t>h</w:t>
      </w:r>
      <w:r w:rsidRPr="00157C8F">
        <w:t>ealth and wellbeing</w:t>
      </w:r>
      <w:r w:rsidR="007208A6" w:rsidRPr="00157C8F">
        <w:t xml:space="preserve"> (HH011)</w:t>
      </w:r>
    </w:p>
    <w:p w14:paraId="0F70BB42" w14:textId="75A854D9" w:rsidR="000C751B" w:rsidRPr="00157C8F" w:rsidRDefault="000C751B" w:rsidP="00157C8F">
      <w:pPr>
        <w:pStyle w:val="VCAAbullet"/>
      </w:pPr>
      <w:r w:rsidRPr="00157C8F">
        <w:t xml:space="preserve">Unit 2: Managing </w:t>
      </w:r>
      <w:r w:rsidR="009476C9" w:rsidRPr="00157C8F">
        <w:t>h</w:t>
      </w:r>
      <w:r w:rsidRPr="00157C8F">
        <w:t xml:space="preserve">ealth and </w:t>
      </w:r>
      <w:r w:rsidR="009476C9" w:rsidRPr="00157C8F">
        <w:t>d</w:t>
      </w:r>
      <w:r w:rsidRPr="00157C8F">
        <w:t>evelopment</w:t>
      </w:r>
      <w:r w:rsidR="007208A6" w:rsidRPr="00157C8F">
        <w:t xml:space="preserve"> (HH022)</w:t>
      </w:r>
    </w:p>
    <w:p w14:paraId="72CC8A1F" w14:textId="7DAAE0EF" w:rsidR="000C751B" w:rsidRPr="00157C8F" w:rsidRDefault="000C751B" w:rsidP="00157C8F">
      <w:pPr>
        <w:pStyle w:val="VCAAbullet"/>
      </w:pPr>
      <w:r w:rsidRPr="00157C8F">
        <w:t>Unit 3: Australia’s health in a globalised world</w:t>
      </w:r>
      <w:r w:rsidR="007208A6" w:rsidRPr="00157C8F">
        <w:t xml:space="preserve"> (HH033)</w:t>
      </w:r>
    </w:p>
    <w:p w14:paraId="2BDBBB7A" w14:textId="2797DFD3" w:rsidR="000C751B" w:rsidRPr="00157C8F" w:rsidRDefault="000C751B" w:rsidP="00157C8F">
      <w:pPr>
        <w:pStyle w:val="VCAAbullet"/>
      </w:pPr>
      <w:r w:rsidRPr="00157C8F">
        <w:t xml:space="preserve">Unit 4: Health and </w:t>
      </w:r>
      <w:r w:rsidR="00F269A7" w:rsidRPr="00157C8F">
        <w:t xml:space="preserve">human </w:t>
      </w:r>
      <w:r w:rsidR="009476C9" w:rsidRPr="00157C8F">
        <w:t>d</w:t>
      </w:r>
      <w:r w:rsidRPr="00157C8F">
        <w:t>evelopment in a global context</w:t>
      </w:r>
      <w:r w:rsidR="007208A6" w:rsidRPr="00157C8F">
        <w:t xml:space="preserve"> (HH034)</w:t>
      </w:r>
    </w:p>
    <w:p w14:paraId="27B406AC" w14:textId="77777777" w:rsidR="000C751B" w:rsidRPr="00C14D55" w:rsidRDefault="000C751B" w:rsidP="000C751B">
      <w:pPr>
        <w:pStyle w:val="VCAAbody"/>
        <w:rPr>
          <w:lang w:val="en-AU"/>
        </w:rPr>
      </w:pPr>
      <w:r w:rsidRPr="00C14D55">
        <w:rPr>
          <w:lang w:val="en-AU"/>
        </w:rPr>
        <w:t>Each unit deals with specific content contained in areas of study and is designed to enable students to achieve a set of outcomes for that unit. Each outcome is described in terms of key knowledge and key skills.</w:t>
      </w:r>
    </w:p>
    <w:p w14:paraId="4070B5AC" w14:textId="77777777" w:rsidR="000C751B" w:rsidRPr="00C14D55" w:rsidRDefault="000C751B" w:rsidP="000C751B">
      <w:pPr>
        <w:pStyle w:val="VCAAHeading2"/>
        <w:rPr>
          <w:lang w:val="en-AU"/>
        </w:rPr>
      </w:pPr>
      <w:bookmarkStart w:id="27" w:name="_Toc159241226"/>
      <w:r w:rsidRPr="00C14D55">
        <w:rPr>
          <w:lang w:val="en-AU"/>
        </w:rPr>
        <w:t>Entry</w:t>
      </w:r>
      <w:bookmarkEnd w:id="27"/>
    </w:p>
    <w:p w14:paraId="3EF6625F" w14:textId="59619CF9" w:rsidR="000C751B" w:rsidRDefault="000C751B" w:rsidP="000C751B">
      <w:pPr>
        <w:pStyle w:val="VCAAbody"/>
        <w:rPr>
          <w:lang w:val="en-AU"/>
        </w:rPr>
      </w:pPr>
      <w:r w:rsidRPr="00C14D55">
        <w:rPr>
          <w:lang w:val="en-AU"/>
        </w:rPr>
        <w:t>There are no prerequisites for entry to Units 1, 2 and 3. Students must undertake Unit 3 and Unit 4 as a sequence. Units 1–4 are designed to the equivalent standard of the final two years of secondary education. All VCE studies are benchmarked against comparable national and international curriculum</w:t>
      </w:r>
      <w:r w:rsidR="00C9052F">
        <w:rPr>
          <w:lang w:val="en-AU"/>
        </w:rPr>
        <w:t>s</w:t>
      </w:r>
      <w:r w:rsidRPr="00C14D55">
        <w:rPr>
          <w:lang w:val="en-AU"/>
        </w:rPr>
        <w:t>.</w:t>
      </w:r>
    </w:p>
    <w:p w14:paraId="4ED31265" w14:textId="0B72F52E" w:rsidR="00F31577" w:rsidRPr="00C14D55" w:rsidRDefault="00F31577" w:rsidP="000C751B">
      <w:pPr>
        <w:pStyle w:val="VCAAbody"/>
        <w:rPr>
          <w:lang w:val="en-AU"/>
        </w:rPr>
      </w:pPr>
      <w:r>
        <w:rPr>
          <w:lang w:val="en-AU"/>
        </w:rPr>
        <w:t xml:space="preserve">Students entering Health and Human Development for the first time at Units 3 and 4 would benefit from familiarising themselves with the foundational concepts of health, </w:t>
      </w:r>
      <w:r w:rsidR="0077402F">
        <w:rPr>
          <w:lang w:val="en-AU"/>
        </w:rPr>
        <w:t xml:space="preserve">including </w:t>
      </w:r>
      <w:r w:rsidR="00CB2F12">
        <w:rPr>
          <w:lang w:val="en-AU"/>
        </w:rPr>
        <w:t xml:space="preserve">health and wellbeing, </w:t>
      </w:r>
      <w:r w:rsidR="0077402F">
        <w:rPr>
          <w:lang w:val="en-AU"/>
        </w:rPr>
        <w:t xml:space="preserve">the </w:t>
      </w:r>
      <w:r>
        <w:rPr>
          <w:lang w:val="en-AU"/>
        </w:rPr>
        <w:t>dimensions</w:t>
      </w:r>
      <w:r w:rsidR="00CB2F12">
        <w:rPr>
          <w:lang w:val="en-AU"/>
        </w:rPr>
        <w:t xml:space="preserve"> of health</w:t>
      </w:r>
      <w:r w:rsidR="0077402F">
        <w:rPr>
          <w:lang w:val="en-AU"/>
        </w:rPr>
        <w:t>,</w:t>
      </w:r>
      <w:r>
        <w:rPr>
          <w:lang w:val="en-AU"/>
        </w:rPr>
        <w:t xml:space="preserve"> </w:t>
      </w:r>
      <w:r w:rsidR="0077402F">
        <w:rPr>
          <w:lang w:val="en-AU"/>
        </w:rPr>
        <w:t xml:space="preserve">health status and the </w:t>
      </w:r>
      <w:r>
        <w:rPr>
          <w:lang w:val="en-AU"/>
        </w:rPr>
        <w:t xml:space="preserve">prerequisites </w:t>
      </w:r>
      <w:r w:rsidR="00CA4F60">
        <w:rPr>
          <w:lang w:val="en-AU"/>
        </w:rPr>
        <w:t xml:space="preserve">for </w:t>
      </w:r>
      <w:r>
        <w:rPr>
          <w:lang w:val="en-AU"/>
        </w:rPr>
        <w:t>health</w:t>
      </w:r>
      <w:r w:rsidR="00CB2F12">
        <w:rPr>
          <w:lang w:val="en-AU"/>
        </w:rPr>
        <w:t xml:space="preserve">, </w:t>
      </w:r>
      <w:r>
        <w:rPr>
          <w:lang w:val="en-AU"/>
        </w:rPr>
        <w:t>introduced in Unit 1</w:t>
      </w:r>
      <w:r w:rsidR="00BD23E4">
        <w:rPr>
          <w:lang w:val="en-AU"/>
        </w:rPr>
        <w:t>:</w:t>
      </w:r>
      <w:r>
        <w:rPr>
          <w:lang w:val="en-AU"/>
        </w:rPr>
        <w:t xml:space="preserve"> </w:t>
      </w:r>
      <w:r w:rsidR="00BD23E4">
        <w:rPr>
          <w:lang w:val="en-AU"/>
        </w:rPr>
        <w:t>Understanding h</w:t>
      </w:r>
      <w:r>
        <w:rPr>
          <w:lang w:val="en-AU"/>
        </w:rPr>
        <w:t xml:space="preserve">ealth and </w:t>
      </w:r>
      <w:r w:rsidR="00BD23E4">
        <w:rPr>
          <w:lang w:val="en-AU"/>
        </w:rPr>
        <w:t>wellbeing</w:t>
      </w:r>
      <w:r>
        <w:rPr>
          <w:lang w:val="en-AU"/>
        </w:rPr>
        <w:t xml:space="preserve">. </w:t>
      </w:r>
    </w:p>
    <w:p w14:paraId="6EE80882" w14:textId="3C57027E" w:rsidR="000C751B" w:rsidRPr="00C14D55" w:rsidRDefault="000C751B" w:rsidP="000C751B">
      <w:pPr>
        <w:pStyle w:val="VCAAHeading2"/>
        <w:rPr>
          <w:lang w:val="en-AU"/>
        </w:rPr>
      </w:pPr>
      <w:bookmarkStart w:id="28" w:name="_Toc159241227"/>
      <w:r w:rsidRPr="00C14D55">
        <w:rPr>
          <w:lang w:val="en-AU"/>
        </w:rPr>
        <w:t>Duration</w:t>
      </w:r>
      <w:bookmarkEnd w:id="28"/>
    </w:p>
    <w:p w14:paraId="569B5D0F" w14:textId="77777777" w:rsidR="000C751B" w:rsidRDefault="000C751B" w:rsidP="000C751B">
      <w:pPr>
        <w:pStyle w:val="VCAAbody"/>
        <w:rPr>
          <w:lang w:val="en-AU"/>
        </w:rPr>
      </w:pPr>
      <w:r w:rsidRPr="00C14D55">
        <w:rPr>
          <w:lang w:val="en-AU"/>
        </w:rPr>
        <w:t>Each unit involves at least 50 hours of scheduled classroom instruction.</w:t>
      </w:r>
    </w:p>
    <w:p w14:paraId="566AAC89" w14:textId="77777777" w:rsidR="003B4C8A" w:rsidRDefault="003B4C8A" w:rsidP="000C751B">
      <w:pPr>
        <w:pStyle w:val="VCAAbody"/>
        <w:rPr>
          <w:lang w:val="en-AU"/>
        </w:rPr>
      </w:pPr>
    </w:p>
    <w:p w14:paraId="7C5083F0" w14:textId="77777777" w:rsidR="003B4C8A" w:rsidRPr="00C14D55" w:rsidRDefault="003B4C8A" w:rsidP="000C751B">
      <w:pPr>
        <w:pStyle w:val="VCAAbody"/>
        <w:rPr>
          <w:lang w:val="en-AU"/>
        </w:rPr>
      </w:pPr>
    </w:p>
    <w:p w14:paraId="45F46B47" w14:textId="77777777" w:rsidR="000C751B" w:rsidRPr="00C14D55" w:rsidRDefault="000C751B" w:rsidP="000C751B">
      <w:pPr>
        <w:pStyle w:val="VCAAHeading2"/>
        <w:rPr>
          <w:lang w:val="en-AU"/>
        </w:rPr>
      </w:pPr>
      <w:bookmarkStart w:id="29" w:name="_Toc159241228"/>
      <w:r w:rsidRPr="00C14D55">
        <w:rPr>
          <w:lang w:val="en-AU"/>
        </w:rPr>
        <w:lastRenderedPageBreak/>
        <w:t>Changes to the study design</w:t>
      </w:r>
      <w:bookmarkEnd w:id="29"/>
    </w:p>
    <w:p w14:paraId="0700ACB4" w14:textId="4923D9B3" w:rsidR="000C751B" w:rsidRPr="00D11DCB" w:rsidRDefault="000C751B" w:rsidP="00102253">
      <w:pPr>
        <w:pStyle w:val="VCAAbody"/>
        <w:rPr>
          <w:rFonts w:ascii="HelveticaNeue LT 55 Roman" w:hAnsi="HelveticaNeue LT 55 Roman" w:cs="HelveticaNeue LT 55 Roman"/>
          <w:lang w:val="en-AU"/>
        </w:rPr>
      </w:pPr>
      <w:r w:rsidRPr="00C14D55">
        <w:rPr>
          <w:lang w:val="en-AU"/>
        </w:rPr>
        <w:t>During its period of accreditation</w:t>
      </w:r>
      <w:r w:rsidR="003D1095">
        <w:rPr>
          <w:lang w:val="en-AU"/>
        </w:rPr>
        <w:t>,</w:t>
      </w:r>
      <w:r w:rsidRPr="00C14D55">
        <w:rPr>
          <w:lang w:val="en-AU"/>
        </w:rPr>
        <w:t xml:space="preserve"> minor changes to the study will be announced in the</w:t>
      </w:r>
      <w:r w:rsidRPr="00C14D55">
        <w:rPr>
          <w:rFonts w:ascii="HelveticaNeue LT 55 Roman" w:hAnsi="HelveticaNeue LT 55 Roman" w:cs="HelveticaNeue LT 55 Roman"/>
          <w:lang w:val="en-AU"/>
        </w:rPr>
        <w:t xml:space="preserve"> </w:t>
      </w:r>
      <w:hyperlink r:id="rId21" w:history="1">
        <w:r w:rsidRPr="00C14D55">
          <w:rPr>
            <w:i/>
            <w:color w:val="0000FF" w:themeColor="hyperlink"/>
            <w:u w:val="single" w:color="0000FF"/>
            <w:lang w:val="en-AU"/>
          </w:rPr>
          <w:t>VCAA Bulletin</w:t>
        </w:r>
      </w:hyperlink>
      <w:r w:rsidRPr="00C14D55">
        <w:rPr>
          <w:rFonts w:ascii="HelveticaNeue LT 55 Roman" w:hAnsi="HelveticaNeue LT 55 Roman" w:cs="HelveticaNeue LT 55 Roman"/>
          <w:lang w:val="en-AU"/>
        </w:rPr>
        <w:t xml:space="preserve">. </w:t>
      </w:r>
      <w:r w:rsidRPr="00C14D55">
        <w:rPr>
          <w:lang w:val="en-AU"/>
        </w:rPr>
        <w:t>The Bulletin</w:t>
      </w:r>
      <w:r w:rsidRPr="00C14D55">
        <w:rPr>
          <w:rFonts w:ascii="HelveticaNeue LT 55 Roman" w:hAnsi="HelveticaNeue LT 55 Roman" w:cs="HelveticaNeue LT 55 Roman"/>
          <w:lang w:val="en-AU"/>
        </w:rPr>
        <w:t xml:space="preserve"> </w:t>
      </w:r>
      <w:r w:rsidRPr="00C14D55">
        <w:rPr>
          <w:lang w:val="en-AU"/>
        </w:rPr>
        <w:t>is the only source of changes to regulations and accredited studies. It is the responsibility of each VCE teacher to monitor changes or advice about VCE studies published in the Bulletin</w:t>
      </w:r>
      <w:r w:rsidRPr="00C14D55">
        <w:rPr>
          <w:rFonts w:ascii="HelveticaNeue LT 55 Roman" w:hAnsi="HelveticaNeue LT 55 Roman" w:cs="HelveticaNeue LT 55 Roman"/>
          <w:lang w:val="en-AU"/>
        </w:rPr>
        <w:t>.</w:t>
      </w:r>
    </w:p>
    <w:p w14:paraId="2222DB8C" w14:textId="77777777" w:rsidR="000C751B" w:rsidRPr="00C14D55" w:rsidRDefault="000C751B" w:rsidP="000C751B">
      <w:pPr>
        <w:pStyle w:val="VCAAHeading2"/>
        <w:rPr>
          <w:lang w:val="en-AU"/>
        </w:rPr>
      </w:pPr>
      <w:bookmarkStart w:id="30" w:name="_Toc159241229"/>
      <w:r w:rsidRPr="00C14D55">
        <w:rPr>
          <w:lang w:val="en-AU"/>
        </w:rPr>
        <w:t>Monitoring for quality</w:t>
      </w:r>
      <w:bookmarkEnd w:id="30"/>
    </w:p>
    <w:p w14:paraId="2E4D4188" w14:textId="60324FD2" w:rsidR="000C751B" w:rsidRPr="00C14D55" w:rsidRDefault="000C751B" w:rsidP="000C751B">
      <w:pPr>
        <w:pStyle w:val="VCAAbody"/>
        <w:rPr>
          <w:rFonts w:ascii="HelveticaNeue LT 55 Roman" w:hAnsi="HelveticaNeue LT 55 Roman" w:cs="HelveticaNeue LT 55 Roman"/>
          <w:lang w:val="en-AU"/>
        </w:rPr>
      </w:pPr>
      <w:r w:rsidRPr="00C14D55">
        <w:rPr>
          <w:lang w:val="en-AU"/>
        </w:rPr>
        <w:t>As part of ongoing monitoring and quality assurance, the VCAA will periodically undertake an audit of VCE Health and Human Development to ensure the study is being taught and assessed as accredited. The details of the audit procedures and requirements are published annually in the</w:t>
      </w:r>
      <w:r w:rsidRPr="00C14D55">
        <w:rPr>
          <w:rFonts w:ascii="HelveticaNeue LT 55 Roman" w:hAnsi="HelveticaNeue LT 55 Roman" w:cs="HelveticaNeue LT 55 Roman"/>
          <w:lang w:val="en-AU"/>
        </w:rPr>
        <w:t xml:space="preserve"> </w:t>
      </w:r>
      <w:hyperlink r:id="rId22" w:history="1">
        <w:r w:rsidR="004B78A4">
          <w:rPr>
            <w:i/>
            <w:color w:val="0000FF" w:themeColor="hyperlink"/>
            <w:u w:val="single" w:color="0000FF"/>
            <w:lang w:val="en-AU"/>
          </w:rPr>
          <w:t>VCE Administrative Handbook</w:t>
        </w:r>
      </w:hyperlink>
      <w:r w:rsidRPr="00C14D55">
        <w:rPr>
          <w:lang w:val="en-AU"/>
        </w:rPr>
        <w:t>. Schools will be notified if they are required to submit material to be audited.</w:t>
      </w:r>
    </w:p>
    <w:p w14:paraId="64D7D6AB" w14:textId="77777777" w:rsidR="000C751B" w:rsidRPr="00C14D55" w:rsidRDefault="000C751B" w:rsidP="000C751B">
      <w:pPr>
        <w:pStyle w:val="VCAAHeading2"/>
        <w:rPr>
          <w:lang w:val="en-AU"/>
        </w:rPr>
      </w:pPr>
      <w:bookmarkStart w:id="31" w:name="_Toc159241230"/>
      <w:r w:rsidRPr="00C14D55">
        <w:rPr>
          <w:lang w:val="en-AU"/>
        </w:rPr>
        <w:t>Safety and wellbeing</w:t>
      </w:r>
      <w:bookmarkEnd w:id="31"/>
    </w:p>
    <w:p w14:paraId="47535D46" w14:textId="11D85539" w:rsidR="000C751B" w:rsidRPr="00C14D55" w:rsidRDefault="000C751B" w:rsidP="000C751B">
      <w:pPr>
        <w:pStyle w:val="VCAAbody"/>
        <w:rPr>
          <w:lang w:val="en-AU"/>
        </w:rPr>
      </w:pPr>
      <w:r w:rsidRPr="00C14D55">
        <w:rPr>
          <w:lang w:val="en-AU"/>
        </w:rPr>
        <w:t xml:space="preserve">It is the responsibility of the school to ensure that duty of care is exercised in relation to the safety </w:t>
      </w:r>
      <w:r w:rsidR="004B1355">
        <w:rPr>
          <w:lang w:val="en-AU"/>
        </w:rPr>
        <w:t xml:space="preserve">and wellbeing </w:t>
      </w:r>
      <w:r w:rsidRPr="00C14D55">
        <w:rPr>
          <w:lang w:val="en-AU"/>
        </w:rPr>
        <w:t xml:space="preserve">of all students undertaking the study. </w:t>
      </w:r>
    </w:p>
    <w:p w14:paraId="642E29A2" w14:textId="6209AEC9" w:rsidR="000C751B" w:rsidRPr="00C14D55" w:rsidRDefault="000C751B" w:rsidP="000C751B">
      <w:pPr>
        <w:pStyle w:val="VCAAbody"/>
        <w:rPr>
          <w:lang w:val="en-AU"/>
        </w:rPr>
      </w:pPr>
      <w:r w:rsidRPr="00C14D55">
        <w:rPr>
          <w:lang w:val="en-AU"/>
        </w:rPr>
        <w:t xml:space="preserve">Students’ backgrounds in relation to a range of health topics </w:t>
      </w:r>
      <w:r w:rsidR="009476C9" w:rsidRPr="00C14D55">
        <w:rPr>
          <w:lang w:val="en-AU"/>
        </w:rPr>
        <w:t>are</w:t>
      </w:r>
      <w:r w:rsidRPr="00C14D55">
        <w:rPr>
          <w:lang w:val="en-AU"/>
        </w:rPr>
        <w:t xml:space="preserve"> varied and </w:t>
      </w:r>
      <w:r w:rsidR="004B1355">
        <w:rPr>
          <w:lang w:val="en-AU"/>
        </w:rPr>
        <w:t xml:space="preserve">often </w:t>
      </w:r>
      <w:r w:rsidRPr="00C14D55">
        <w:rPr>
          <w:lang w:val="en-AU"/>
        </w:rPr>
        <w:t xml:space="preserve">unknown. Care must be taken when teaching potentially sensitive topics, particularly in relation to mental health, causes of mortality, social </w:t>
      </w:r>
      <w:proofErr w:type="gramStart"/>
      <w:r w:rsidRPr="00C14D55">
        <w:rPr>
          <w:lang w:val="en-AU"/>
        </w:rPr>
        <w:t>factors</w:t>
      </w:r>
      <w:proofErr w:type="gramEnd"/>
      <w:r w:rsidRPr="00C14D55">
        <w:rPr>
          <w:lang w:val="en-AU"/>
        </w:rPr>
        <w:t xml:space="preserve"> and body image.</w:t>
      </w:r>
    </w:p>
    <w:p w14:paraId="5A001892" w14:textId="7EF72096" w:rsidR="000C751B" w:rsidRPr="00C14D55" w:rsidRDefault="000C751B" w:rsidP="000C751B">
      <w:pPr>
        <w:pStyle w:val="VCAAbody"/>
        <w:rPr>
          <w:lang w:val="en-AU"/>
        </w:rPr>
      </w:pPr>
      <w:r w:rsidRPr="00C14D55">
        <w:rPr>
          <w:lang w:val="en-AU"/>
        </w:rPr>
        <w:t>It should be noted that while there is a specific focus on overweight and obesity</w:t>
      </w:r>
      <w:r w:rsidR="004B1355">
        <w:rPr>
          <w:lang w:val="en-AU"/>
        </w:rPr>
        <w:t xml:space="preserve"> in this study</w:t>
      </w:r>
      <w:r w:rsidRPr="00C14D55">
        <w:rPr>
          <w:lang w:val="en-AU"/>
        </w:rPr>
        <w:t xml:space="preserve">, it is in the context of population health. Discussion of </w:t>
      </w:r>
      <w:r w:rsidR="00CB5552">
        <w:rPr>
          <w:lang w:val="en-AU"/>
        </w:rPr>
        <w:t>b</w:t>
      </w:r>
      <w:r w:rsidR="00CB5552" w:rsidRPr="00C14D55">
        <w:rPr>
          <w:lang w:val="en-AU"/>
        </w:rPr>
        <w:t xml:space="preserve">ody </w:t>
      </w:r>
      <w:r w:rsidR="00CB5552">
        <w:rPr>
          <w:lang w:val="en-AU"/>
        </w:rPr>
        <w:t>m</w:t>
      </w:r>
      <w:r w:rsidR="00CB5552" w:rsidRPr="00C14D55">
        <w:rPr>
          <w:lang w:val="en-AU"/>
        </w:rPr>
        <w:t xml:space="preserve">ass </w:t>
      </w:r>
      <w:r w:rsidR="00CB5552">
        <w:rPr>
          <w:lang w:val="en-AU"/>
        </w:rPr>
        <w:t>i</w:t>
      </w:r>
      <w:r w:rsidR="00CB5552" w:rsidRPr="00C14D55">
        <w:rPr>
          <w:lang w:val="en-AU"/>
        </w:rPr>
        <w:t xml:space="preserve">ndex </w:t>
      </w:r>
      <w:r w:rsidRPr="00C14D55">
        <w:rPr>
          <w:lang w:val="en-AU"/>
        </w:rPr>
        <w:t>(BMI) is outside the scope of th</w:t>
      </w:r>
      <w:r w:rsidR="00DC35E8">
        <w:rPr>
          <w:lang w:val="en-AU"/>
        </w:rPr>
        <w:t>e</w:t>
      </w:r>
      <w:r w:rsidR="003F16C5">
        <w:rPr>
          <w:lang w:val="en-AU"/>
        </w:rPr>
        <w:t xml:space="preserve"> </w:t>
      </w:r>
      <w:r w:rsidRPr="00C14D55">
        <w:rPr>
          <w:lang w:val="en-AU"/>
        </w:rPr>
        <w:t>study and could be harmful for some students.</w:t>
      </w:r>
    </w:p>
    <w:p w14:paraId="79E78D12" w14:textId="3A830EBE" w:rsidR="000171F4" w:rsidRDefault="000C751B" w:rsidP="000C751B">
      <w:pPr>
        <w:pStyle w:val="VCAAbody"/>
        <w:rPr>
          <w:lang w:val="en-AU"/>
        </w:rPr>
      </w:pPr>
      <w:r w:rsidRPr="00C14D55">
        <w:rPr>
          <w:lang w:val="en-AU"/>
        </w:rPr>
        <w:t>Discussion of potentially sensitive or controversial topics should be consistent with the school ethos. Students should not be asked to disclose personal information about their own or their family’s health status and behaviours, nor should they be expected to volunteer this information.</w:t>
      </w:r>
    </w:p>
    <w:p w14:paraId="7FB6E66C" w14:textId="3514AC64" w:rsidR="000171F4" w:rsidRPr="000171F4" w:rsidRDefault="000171F4" w:rsidP="000171F4">
      <w:pPr>
        <w:pStyle w:val="VCAAHeading2"/>
        <w:rPr>
          <w:lang w:val="en-AU"/>
        </w:rPr>
      </w:pPr>
      <w:bookmarkStart w:id="32" w:name="_Toc159241231"/>
      <w:r w:rsidRPr="000171F4">
        <w:rPr>
          <w:lang w:val="en-AU"/>
        </w:rPr>
        <w:t>Requirements for delivery</w:t>
      </w:r>
      <w:bookmarkEnd w:id="32"/>
    </w:p>
    <w:p w14:paraId="789B7A7C" w14:textId="2BD5674D" w:rsidR="000171F4" w:rsidRPr="000171F4" w:rsidRDefault="000171F4" w:rsidP="000171F4">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lang w:val="en-US"/>
        </w:rPr>
        <w:t xml:space="preserve">The </w:t>
      </w:r>
      <w:proofErr w:type="gramStart"/>
      <w:r>
        <w:rPr>
          <w:rStyle w:val="normaltextrun"/>
          <w:rFonts w:ascii="Arial" w:hAnsi="Arial" w:cs="Arial"/>
          <w:color w:val="000000"/>
          <w:sz w:val="20"/>
          <w:szCs w:val="20"/>
          <w:lang w:val="en-US"/>
        </w:rPr>
        <w:t>Principal</w:t>
      </w:r>
      <w:proofErr w:type="gramEnd"/>
      <w:r>
        <w:rPr>
          <w:rStyle w:val="normaltextrun"/>
          <w:rFonts w:ascii="Arial" w:hAnsi="Arial" w:cs="Arial"/>
          <w:color w:val="000000"/>
          <w:sz w:val="20"/>
          <w:szCs w:val="20"/>
          <w:lang w:val="en-US"/>
        </w:rPr>
        <w:t xml:space="preserve"> must make sure that students have access to adequate facilities and resources to complete any VCE study they are offered. There are no requirements for specialist facilities, </w:t>
      </w:r>
      <w:hyperlink r:id="rId23" w:anchor="teacher-class" w:history="1">
        <w:r w:rsidRPr="00F45362">
          <w:rPr>
            <w:rStyle w:val="Hyperlink"/>
            <w:rFonts w:ascii="Arial" w:hAnsi="Arial" w:cs="Arial"/>
            <w:sz w:val="20"/>
            <w:szCs w:val="20"/>
            <w:lang w:val="en-US"/>
          </w:rPr>
          <w:t>teacher qualifications</w:t>
        </w:r>
      </w:hyperlink>
      <w:r>
        <w:rPr>
          <w:rStyle w:val="normaltextrun"/>
          <w:rFonts w:ascii="Arial" w:hAnsi="Arial" w:cs="Arial"/>
          <w:color w:val="000000"/>
          <w:sz w:val="20"/>
          <w:szCs w:val="20"/>
          <w:lang w:val="en-US"/>
        </w:rPr>
        <w:t xml:space="preserve"> and resources specified for this study.</w:t>
      </w:r>
      <w:r>
        <w:rPr>
          <w:rStyle w:val="eop"/>
          <w:rFonts w:ascii="Arial" w:hAnsi="Arial" w:cs="Arial"/>
          <w:color w:val="000000"/>
          <w:sz w:val="20"/>
          <w:szCs w:val="20"/>
        </w:rPr>
        <w:t> </w:t>
      </w:r>
    </w:p>
    <w:p w14:paraId="456BEE4B" w14:textId="77777777" w:rsidR="000C751B" w:rsidRPr="00C14D55" w:rsidRDefault="000C751B" w:rsidP="000C751B">
      <w:pPr>
        <w:pStyle w:val="VCAAHeading2"/>
        <w:rPr>
          <w:lang w:val="en-AU"/>
        </w:rPr>
      </w:pPr>
      <w:bookmarkStart w:id="33" w:name="_Toc159241232"/>
      <w:r w:rsidRPr="00C14D55">
        <w:rPr>
          <w:lang w:val="en-AU"/>
        </w:rPr>
        <w:t>Employability skills</w:t>
      </w:r>
      <w:bookmarkEnd w:id="33"/>
    </w:p>
    <w:p w14:paraId="58A19327" w14:textId="0475D07C" w:rsidR="000C751B" w:rsidRPr="00C14D55" w:rsidRDefault="000C751B" w:rsidP="000C751B">
      <w:pPr>
        <w:pStyle w:val="VCAAbody"/>
        <w:rPr>
          <w:lang w:val="en-AU"/>
        </w:rPr>
      </w:pPr>
      <w:r w:rsidRPr="00C14D55">
        <w:rPr>
          <w:lang w:val="en-AU"/>
        </w:rPr>
        <w:t xml:space="preserve">This study offers </w:t>
      </w:r>
      <w:proofErr w:type="gramStart"/>
      <w:r w:rsidRPr="00C14D55">
        <w:rPr>
          <w:lang w:val="en-AU"/>
        </w:rPr>
        <w:t>a number of</w:t>
      </w:r>
      <w:proofErr w:type="gramEnd"/>
      <w:r w:rsidRPr="00C14D55">
        <w:rPr>
          <w:lang w:val="en-AU"/>
        </w:rPr>
        <w:t xml:space="preserve"> opportunities for students to develop employability skills. The </w:t>
      </w:r>
      <w:hyperlink r:id="rId24" w:history="1">
        <w:r w:rsidRPr="00C14D55">
          <w:rPr>
            <w:iCs/>
            <w:color w:val="0000FF" w:themeColor="hyperlink"/>
            <w:u w:val="single"/>
            <w:lang w:val="en-AU"/>
          </w:rPr>
          <w:t>Support materials</w:t>
        </w:r>
      </w:hyperlink>
      <w:r w:rsidRPr="00C14D55">
        <w:rPr>
          <w:lang w:val="en-AU"/>
        </w:rPr>
        <w:t xml:space="preserve"> provide specific examples of how students can develop employability skills during learning activities and assessment tasks.</w:t>
      </w:r>
    </w:p>
    <w:p w14:paraId="49972C30" w14:textId="77777777" w:rsidR="000C751B" w:rsidRPr="00C14D55" w:rsidRDefault="000C751B" w:rsidP="000C751B">
      <w:pPr>
        <w:pStyle w:val="VCAAHeading2"/>
        <w:rPr>
          <w:lang w:val="en-AU"/>
        </w:rPr>
      </w:pPr>
      <w:bookmarkStart w:id="34" w:name="_Toc159241233"/>
      <w:r w:rsidRPr="00C14D55">
        <w:rPr>
          <w:lang w:val="en-AU"/>
        </w:rPr>
        <w:t>Legislative compliance</w:t>
      </w:r>
      <w:bookmarkEnd w:id="34"/>
    </w:p>
    <w:p w14:paraId="4787124A" w14:textId="58945166" w:rsidR="00F70CB6" w:rsidRDefault="000C751B" w:rsidP="000C751B">
      <w:pPr>
        <w:pStyle w:val="VCAAbody"/>
        <w:rPr>
          <w:lang w:val="en-AU"/>
        </w:rPr>
      </w:pPr>
      <w:r w:rsidRPr="00C14D55">
        <w:rPr>
          <w:lang w:val="en-AU"/>
        </w:rPr>
        <w:t xml:space="preserve">When collecting and using information, the provisions of privacy and copyright legislation, such as the Victorian </w:t>
      </w:r>
      <w:r w:rsidRPr="00C14D55">
        <w:rPr>
          <w:i/>
          <w:iCs/>
          <w:lang w:val="en-AU"/>
        </w:rPr>
        <w:t>Privacy and Data Protection Act 2014</w:t>
      </w:r>
      <w:r w:rsidRPr="00C14D55">
        <w:rPr>
          <w:rFonts w:ascii="HelveticaNeue LT 55 Roman" w:hAnsi="HelveticaNeue LT 55 Roman" w:cs="HelveticaNeue LT 55 Roman"/>
          <w:lang w:val="en-AU"/>
        </w:rPr>
        <w:t xml:space="preserve"> </w:t>
      </w:r>
      <w:r w:rsidRPr="00C14D55">
        <w:rPr>
          <w:lang w:val="en-AU"/>
        </w:rPr>
        <w:t>and</w:t>
      </w:r>
      <w:r w:rsidRPr="00C14D55">
        <w:rPr>
          <w:rFonts w:ascii="HelveticaNeue LT 55 Roman" w:hAnsi="HelveticaNeue LT 55 Roman" w:cs="HelveticaNeue LT 55 Roman"/>
          <w:lang w:val="en-AU"/>
        </w:rPr>
        <w:t xml:space="preserve"> </w:t>
      </w:r>
      <w:r w:rsidRPr="00C14D55">
        <w:rPr>
          <w:i/>
          <w:iCs/>
          <w:lang w:val="en-AU"/>
        </w:rPr>
        <w:t>Health Records Act 2001</w:t>
      </w:r>
      <w:r w:rsidRPr="00C14D55">
        <w:rPr>
          <w:lang w:val="en-AU"/>
        </w:rPr>
        <w:t xml:space="preserve">, and the federal </w:t>
      </w:r>
      <w:r w:rsidRPr="00C14D55">
        <w:rPr>
          <w:i/>
          <w:iCs/>
          <w:lang w:val="en-AU"/>
        </w:rPr>
        <w:t>Privacy Act 1988</w:t>
      </w:r>
      <w:r w:rsidRPr="00C14D55">
        <w:rPr>
          <w:lang w:val="en-AU"/>
        </w:rPr>
        <w:t xml:space="preserve"> and </w:t>
      </w:r>
      <w:r w:rsidRPr="00C14D55">
        <w:rPr>
          <w:i/>
          <w:lang w:val="en-AU"/>
        </w:rPr>
        <w:t>Copyright Act 1968</w:t>
      </w:r>
      <w:r w:rsidRPr="00C14D55">
        <w:rPr>
          <w:lang w:val="en-AU"/>
        </w:rPr>
        <w:t>, must be met.</w:t>
      </w:r>
    </w:p>
    <w:p w14:paraId="4D03A2A0" w14:textId="77777777" w:rsidR="00F70CB6" w:rsidRDefault="00F70CB6">
      <w:pPr>
        <w:rPr>
          <w:rFonts w:ascii="Arial" w:hAnsi="Arial" w:cs="Arial"/>
          <w:color w:val="000000" w:themeColor="text1"/>
          <w:sz w:val="20"/>
        </w:rPr>
      </w:pPr>
      <w:r>
        <w:br w:type="page"/>
      </w:r>
    </w:p>
    <w:p w14:paraId="23D58D75" w14:textId="77777777" w:rsidR="000C751B" w:rsidRPr="00C14D55" w:rsidRDefault="000C751B" w:rsidP="000C751B">
      <w:pPr>
        <w:pStyle w:val="VCAAHeading2"/>
        <w:rPr>
          <w:lang w:val="en-AU"/>
        </w:rPr>
      </w:pPr>
      <w:bookmarkStart w:id="35" w:name="_Toc159241234"/>
      <w:r w:rsidRPr="00C14D55">
        <w:rPr>
          <w:lang w:val="en-AU"/>
        </w:rPr>
        <w:lastRenderedPageBreak/>
        <w:t>Child Safe Standards</w:t>
      </w:r>
      <w:bookmarkEnd w:id="35"/>
    </w:p>
    <w:p w14:paraId="52A07C8C" w14:textId="74E6ADC7" w:rsidR="000C751B" w:rsidRPr="00C14D55" w:rsidRDefault="000C751B" w:rsidP="000C751B">
      <w:pPr>
        <w:pStyle w:val="VCAAbody"/>
        <w:rPr>
          <w:lang w:val="en-AU"/>
        </w:rPr>
      </w:pPr>
      <w:r w:rsidRPr="00C14D55">
        <w:rPr>
          <w:lang w:val="en-AU"/>
        </w:rPr>
        <w:t xml:space="preserve">Schools and education and training providers are required to comply with the Child Safe Standards made under the Victorian </w:t>
      </w:r>
      <w:r w:rsidRPr="00C14D55">
        <w:rPr>
          <w:i/>
          <w:iCs/>
          <w:lang w:val="en-AU"/>
        </w:rPr>
        <w:t>Child Wellbeing and Safety Act 2005</w:t>
      </w:r>
      <w:r w:rsidRPr="00C14D55">
        <w:rPr>
          <w:lang w:val="en-AU"/>
        </w:rPr>
        <w:t xml:space="preserve">. Registered schools are required to comply with </w:t>
      </w:r>
      <w:r w:rsidRPr="00C14D55">
        <w:rPr>
          <w:i/>
          <w:iCs/>
          <w:lang w:val="en-AU"/>
        </w:rPr>
        <w:t>Ministerial Order No. 1359 Implementing the Child Safe Standards – Managing the Risk of Child Abuse in Schools and School Boarding Premises</w:t>
      </w:r>
      <w:r w:rsidRPr="00C14D55">
        <w:rPr>
          <w:lang w:val="en-AU"/>
        </w:rPr>
        <w:t xml:space="preserve">. For further information, consult the websites of the </w:t>
      </w:r>
      <w:hyperlink r:id="rId25" w:history="1">
        <w:r w:rsidRPr="00C14D55">
          <w:rPr>
            <w:color w:val="0000FF" w:themeColor="hyperlink"/>
            <w:u w:val="single"/>
            <w:lang w:val="en-AU"/>
          </w:rPr>
          <w:t>Victorian Registration and Qualifications Authority</w:t>
        </w:r>
      </w:hyperlink>
      <w:r w:rsidRPr="00C14D55">
        <w:rPr>
          <w:lang w:val="en-AU"/>
        </w:rPr>
        <w:t xml:space="preserve">, the </w:t>
      </w:r>
      <w:hyperlink r:id="rId26" w:history="1">
        <w:r w:rsidRPr="00C14D55">
          <w:rPr>
            <w:color w:val="0000FF" w:themeColor="hyperlink"/>
            <w:u w:val="single"/>
            <w:lang w:val="en-AU"/>
          </w:rPr>
          <w:t>Commission for Children and Young People</w:t>
        </w:r>
      </w:hyperlink>
      <w:r w:rsidRPr="00C14D55">
        <w:rPr>
          <w:lang w:val="en-AU"/>
        </w:rPr>
        <w:t xml:space="preserve"> and the </w:t>
      </w:r>
      <w:hyperlink r:id="rId27" w:history="1">
        <w:r w:rsidRPr="00C14D55">
          <w:rPr>
            <w:color w:val="0000FF" w:themeColor="hyperlink"/>
            <w:u w:val="single"/>
            <w:lang w:val="en-AU"/>
          </w:rPr>
          <w:t>Department of Education</w:t>
        </w:r>
      </w:hyperlink>
      <w:r w:rsidRPr="00C14D55">
        <w:rPr>
          <w:lang w:val="en-AU"/>
        </w:rPr>
        <w:t>.</w:t>
      </w:r>
    </w:p>
    <w:p w14:paraId="5C3A7BE7" w14:textId="77777777" w:rsidR="000C751B" w:rsidRPr="00C14D55" w:rsidRDefault="000C751B" w:rsidP="000C751B">
      <w:pPr>
        <w:rPr>
          <w:rFonts w:ascii="Arial" w:hAnsi="Arial" w:cs="Arial"/>
          <w:noProof/>
          <w:sz w:val="18"/>
          <w:szCs w:val="18"/>
        </w:rPr>
      </w:pPr>
      <w:r w:rsidRPr="00C14D55">
        <w:rPr>
          <w:rFonts w:ascii="Arial" w:hAnsi="Arial" w:cs="Arial"/>
          <w:noProof/>
          <w:sz w:val="18"/>
          <w:szCs w:val="18"/>
        </w:rPr>
        <w:br w:type="page"/>
      </w:r>
    </w:p>
    <w:p w14:paraId="4AB04122" w14:textId="77777777" w:rsidR="000C751B" w:rsidRPr="00C14D55" w:rsidRDefault="000C751B" w:rsidP="000C751B">
      <w:pPr>
        <w:pStyle w:val="VCAAHeading1"/>
        <w:rPr>
          <w:lang w:val="en-AU"/>
        </w:rPr>
      </w:pPr>
      <w:bookmarkStart w:id="36" w:name="_Toc159241235"/>
      <w:r w:rsidRPr="00C14D55">
        <w:rPr>
          <w:lang w:val="en-AU"/>
        </w:rPr>
        <w:lastRenderedPageBreak/>
        <w:t>Assessment and reporting</w:t>
      </w:r>
      <w:bookmarkEnd w:id="36"/>
    </w:p>
    <w:p w14:paraId="66BF84A0" w14:textId="77777777" w:rsidR="000C751B" w:rsidRPr="00C14D55" w:rsidRDefault="000C751B" w:rsidP="000C751B">
      <w:pPr>
        <w:pStyle w:val="VCAAHeading2"/>
        <w:rPr>
          <w:lang w:val="en-AU"/>
        </w:rPr>
      </w:pPr>
      <w:bookmarkStart w:id="37" w:name="_Toc159241236"/>
      <w:r w:rsidRPr="00C14D55">
        <w:rPr>
          <w:lang w:val="en-AU"/>
        </w:rPr>
        <w:t>Satisfactory completion</w:t>
      </w:r>
      <w:bookmarkEnd w:id="37"/>
    </w:p>
    <w:p w14:paraId="5C4FCEB5" w14:textId="77777777" w:rsidR="000C751B" w:rsidRPr="00C14D55" w:rsidRDefault="000C751B" w:rsidP="00422E3D">
      <w:pPr>
        <w:pStyle w:val="VCAAbody"/>
        <w:rPr>
          <w:lang w:val="en-AU"/>
        </w:rPr>
      </w:pPr>
      <w:r w:rsidRPr="00C14D55">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7CB9D4C2" w14:textId="77777777" w:rsidR="000C751B" w:rsidRPr="00C14D55" w:rsidRDefault="000C751B" w:rsidP="00422E3D">
      <w:pPr>
        <w:pStyle w:val="VCAAbody"/>
        <w:rPr>
          <w:lang w:val="en-AU"/>
        </w:rPr>
      </w:pPr>
      <w:r w:rsidRPr="00C14D55">
        <w:rPr>
          <w:lang w:val="en-AU"/>
        </w:rPr>
        <w:t xml:space="preserve">Teachers must develop courses that provide appropriate opportunities for students to demonstrate satisfactory achievement of outcomes. </w:t>
      </w:r>
    </w:p>
    <w:p w14:paraId="002422F9" w14:textId="77777777" w:rsidR="000C751B" w:rsidRPr="00C14D55" w:rsidRDefault="000C751B" w:rsidP="00422E3D">
      <w:pPr>
        <w:pStyle w:val="VCAAbody"/>
        <w:rPr>
          <w:lang w:val="en-AU"/>
        </w:rPr>
      </w:pPr>
      <w:r w:rsidRPr="00C14D55">
        <w:rPr>
          <w:lang w:val="en-AU"/>
        </w:rPr>
        <w:t>The decision about satisfactory completion of a unit is distinct from the assessment of levels of achievement. Schools will report a student’s result for each unit to the VCAA as S (satisfactory) or N (not satisfactory).</w:t>
      </w:r>
    </w:p>
    <w:p w14:paraId="055E4DC1" w14:textId="77777777" w:rsidR="000C751B" w:rsidRPr="00C14D55" w:rsidRDefault="000C751B" w:rsidP="00422E3D">
      <w:pPr>
        <w:pStyle w:val="VCAAHeading2"/>
        <w:rPr>
          <w:lang w:val="en-AU"/>
        </w:rPr>
      </w:pPr>
      <w:bookmarkStart w:id="38" w:name="_Toc159241237"/>
      <w:r w:rsidRPr="00C14D55">
        <w:rPr>
          <w:lang w:val="en-AU"/>
        </w:rPr>
        <w:t>Levels of achievement</w:t>
      </w:r>
      <w:bookmarkEnd w:id="38"/>
    </w:p>
    <w:p w14:paraId="0DD9876F" w14:textId="77777777" w:rsidR="000C751B" w:rsidRPr="00C14D55" w:rsidRDefault="000C751B" w:rsidP="00422E3D">
      <w:pPr>
        <w:pStyle w:val="VCAAHeading3"/>
        <w:rPr>
          <w:lang w:val="en-AU"/>
        </w:rPr>
      </w:pPr>
      <w:bookmarkStart w:id="39" w:name="_Toc130815872"/>
      <w:bookmarkStart w:id="40" w:name="_Toc159241238"/>
      <w:r w:rsidRPr="00C14D55">
        <w:rPr>
          <w:lang w:val="en-AU"/>
        </w:rPr>
        <w:t>Units 1 and 2</w:t>
      </w:r>
      <w:bookmarkEnd w:id="39"/>
      <w:bookmarkEnd w:id="40"/>
    </w:p>
    <w:p w14:paraId="6D2D7683" w14:textId="77777777" w:rsidR="000C751B" w:rsidRPr="00C14D55" w:rsidRDefault="000C751B" w:rsidP="00422E3D">
      <w:pPr>
        <w:pStyle w:val="VCAAbody"/>
        <w:rPr>
          <w:lang w:val="en-AU"/>
        </w:rPr>
      </w:pPr>
      <w:r w:rsidRPr="00C14D55">
        <w:rPr>
          <w:lang w:val="en-AU"/>
        </w:rPr>
        <w:t xml:space="preserve">Procedures for the assessment of levels of achievement in Units 1 and 2 are a matter for school decision. Assessment of levels of achievement for these units will not be reported to the VCAA. Schools may choose to report levels of achievement using grades, descriptive </w:t>
      </w:r>
      <w:proofErr w:type="gramStart"/>
      <w:r w:rsidRPr="00C14D55">
        <w:rPr>
          <w:lang w:val="en-AU"/>
        </w:rPr>
        <w:t>statements</w:t>
      </w:r>
      <w:proofErr w:type="gramEnd"/>
      <w:r w:rsidRPr="00C14D55">
        <w:rPr>
          <w:lang w:val="en-AU"/>
        </w:rPr>
        <w:t xml:space="preserve"> or other indicators.</w:t>
      </w:r>
    </w:p>
    <w:p w14:paraId="04287AAA" w14:textId="77777777" w:rsidR="000C751B" w:rsidRPr="00C14D55" w:rsidRDefault="000C751B" w:rsidP="00422E3D">
      <w:pPr>
        <w:pStyle w:val="VCAAHeading3"/>
        <w:rPr>
          <w:lang w:val="en-AU"/>
        </w:rPr>
      </w:pPr>
      <w:bookmarkStart w:id="41" w:name="_Toc130815873"/>
      <w:bookmarkStart w:id="42" w:name="_Toc159241239"/>
      <w:r w:rsidRPr="00C14D55">
        <w:rPr>
          <w:lang w:val="en-AU"/>
        </w:rPr>
        <w:t>Units 3 and 4</w:t>
      </w:r>
      <w:bookmarkEnd w:id="41"/>
      <w:bookmarkEnd w:id="42"/>
    </w:p>
    <w:p w14:paraId="1FF67964" w14:textId="77777777" w:rsidR="000C751B" w:rsidRPr="00C14D55" w:rsidRDefault="000C751B" w:rsidP="00422E3D">
      <w:pPr>
        <w:pStyle w:val="VCAAbody"/>
        <w:ind w:right="-150"/>
        <w:rPr>
          <w:lang w:val="en-AU"/>
        </w:rPr>
      </w:pPr>
      <w:r w:rsidRPr="00C14D55">
        <w:rPr>
          <w:lang w:val="en-AU"/>
        </w:rPr>
        <w:t>The VCAA specifies the assessment procedures for students undertaking scored assessment in Units 3 and 4. Designated assessment tasks are provided in the details for each unit in VCE study designs.</w:t>
      </w:r>
    </w:p>
    <w:p w14:paraId="4D9BBC8E" w14:textId="77777777" w:rsidR="000C751B" w:rsidRPr="00C14D55" w:rsidRDefault="000C751B" w:rsidP="00422E3D">
      <w:pPr>
        <w:pStyle w:val="VCAAbody"/>
        <w:rPr>
          <w:lang w:val="en-AU"/>
        </w:rPr>
      </w:pPr>
      <w:r w:rsidRPr="00C14D55">
        <w:rPr>
          <w:lang w:val="en-AU"/>
        </w:rPr>
        <w:t>The student’s level of achievement in Units 3 and 4 will be determined by School-assessed Coursework (SAC)</w:t>
      </w:r>
      <w:r w:rsidRPr="00C14D55">
        <w:rPr>
          <w:color w:val="D80000"/>
          <w:lang w:val="en-AU"/>
        </w:rPr>
        <w:t xml:space="preserve"> </w:t>
      </w:r>
      <w:r w:rsidRPr="00C14D55">
        <w:rPr>
          <w:lang w:val="en-AU"/>
        </w:rPr>
        <w:t>as specified in the VCE study design, and external assessment.</w:t>
      </w:r>
    </w:p>
    <w:p w14:paraId="6A9D7B82" w14:textId="2C050AD5" w:rsidR="000C751B" w:rsidRPr="00C14D55" w:rsidRDefault="000C751B" w:rsidP="00422E3D">
      <w:pPr>
        <w:pStyle w:val="VCAAbody"/>
        <w:rPr>
          <w:lang w:val="en-AU"/>
        </w:rPr>
      </w:pPr>
      <w:r w:rsidRPr="00C14D55">
        <w:rPr>
          <w:lang w:val="en-AU"/>
        </w:rPr>
        <w:t xml:space="preserve">The VCAA will report the student’s level of achievement on each assessment component as a grade from </w:t>
      </w:r>
      <w:r w:rsidR="00422E3D" w:rsidRPr="00C14D55">
        <w:rPr>
          <w:lang w:val="en-AU"/>
        </w:rPr>
        <w:br/>
      </w:r>
      <w:r w:rsidRPr="00C14D55">
        <w:rPr>
          <w:lang w:val="en-AU"/>
        </w:rPr>
        <w:t>A+ to E or UG (ungraded). To receive a study score</w:t>
      </w:r>
      <w:r w:rsidR="003D1095">
        <w:rPr>
          <w:lang w:val="en-AU"/>
        </w:rPr>
        <w:t>,</w:t>
      </w:r>
      <w:r w:rsidRPr="00C14D55">
        <w:rPr>
          <w:lang w:val="en-AU"/>
        </w:rPr>
        <w:t xml:space="preserve"> the student must achieve two or more graded assessments in the study and receive an S for both Units 3 and 4. The study score is reported on a scale </w:t>
      </w:r>
      <w:r w:rsidR="00422E3D" w:rsidRPr="00C14D55">
        <w:rPr>
          <w:lang w:val="en-AU"/>
        </w:rPr>
        <w:br/>
      </w:r>
      <w:r w:rsidRPr="00C14D55">
        <w:rPr>
          <w:lang w:val="en-AU"/>
        </w:rPr>
        <w:t xml:space="preserve">of 0–50; it is a measure of how well the student performed in relation to all others who completed the study. Teachers should refer to the current </w:t>
      </w:r>
      <w:hyperlink r:id="rId28" w:history="1">
        <w:r w:rsidR="004B78A4">
          <w:rPr>
            <w:i/>
            <w:color w:val="0000FF" w:themeColor="hyperlink"/>
            <w:u w:val="single" w:color="0000FF"/>
            <w:lang w:val="en-AU"/>
          </w:rPr>
          <w:t>VCE Administrative Handbook</w:t>
        </w:r>
      </w:hyperlink>
      <w:r w:rsidRPr="00C14D55">
        <w:rPr>
          <w:lang w:val="en-AU"/>
        </w:rPr>
        <w:t xml:space="preserve"> for details on graded assessment and calculation of the study score. </w:t>
      </w:r>
    </w:p>
    <w:p w14:paraId="369827F5" w14:textId="77777777" w:rsidR="000C751B" w:rsidRPr="00C14D55" w:rsidRDefault="000C751B" w:rsidP="00422E3D">
      <w:pPr>
        <w:pStyle w:val="VCAAbody"/>
        <w:rPr>
          <w:lang w:val="en-AU"/>
        </w:rPr>
      </w:pPr>
      <w:r w:rsidRPr="00C14D55">
        <w:rPr>
          <w:lang w:val="en-AU"/>
        </w:rPr>
        <w:t>Percentage contributions to the study score in VCE Health and Human Development are as follows:</w:t>
      </w:r>
    </w:p>
    <w:p w14:paraId="0641B3E8" w14:textId="77777777" w:rsidR="000C751B" w:rsidRPr="00C14D55" w:rsidRDefault="000C751B" w:rsidP="00BD6117">
      <w:pPr>
        <w:pStyle w:val="VCAAbullet"/>
      </w:pPr>
      <w:r w:rsidRPr="00C14D55">
        <w:t>Unit 3 School-assessed Coursework: 25 per cent</w:t>
      </w:r>
    </w:p>
    <w:p w14:paraId="219F6CDA" w14:textId="77777777" w:rsidR="000C751B" w:rsidRPr="00C14D55" w:rsidRDefault="000C751B" w:rsidP="00BD6117">
      <w:pPr>
        <w:pStyle w:val="VCAAbullet"/>
      </w:pPr>
      <w:r w:rsidRPr="00C14D55">
        <w:t>Unit 4 School-assessed Coursework: 25 per cent</w:t>
      </w:r>
    </w:p>
    <w:p w14:paraId="7C1FA90E" w14:textId="108E51FE" w:rsidR="000C751B" w:rsidRPr="00C14D55" w:rsidRDefault="009476C9" w:rsidP="00BD6117">
      <w:pPr>
        <w:pStyle w:val="VCAAbullet"/>
      </w:pPr>
      <w:r w:rsidRPr="00C14D55">
        <w:t>E</w:t>
      </w:r>
      <w:r w:rsidR="000C751B" w:rsidRPr="00C14D55">
        <w:t>nd-of-year examination: 50 per cent.</w:t>
      </w:r>
    </w:p>
    <w:p w14:paraId="65A57153" w14:textId="77777777" w:rsidR="000C751B" w:rsidRPr="00C14D55" w:rsidRDefault="000C751B" w:rsidP="00422E3D">
      <w:pPr>
        <w:pStyle w:val="VCAAbody"/>
        <w:rPr>
          <w:lang w:val="en-AU"/>
        </w:rPr>
      </w:pPr>
      <w:r w:rsidRPr="00C14D55">
        <w:rPr>
          <w:lang w:val="en-AU"/>
        </w:rPr>
        <w:t>Details of the assessment program are described in the sections on Units 3 and 4 in this study design.</w:t>
      </w:r>
    </w:p>
    <w:p w14:paraId="4E0B23BF" w14:textId="4A54CB8B" w:rsidR="00422E3D" w:rsidRPr="00C14D55" w:rsidRDefault="00422E3D">
      <w:pPr>
        <w:rPr>
          <w:rFonts w:ascii="Arial" w:hAnsi="Arial" w:cs="Arial"/>
          <w:color w:val="000000" w:themeColor="text1"/>
          <w:sz w:val="20"/>
        </w:rPr>
      </w:pPr>
      <w:r w:rsidRPr="00C14D55">
        <w:rPr>
          <w:rFonts w:ascii="Arial" w:hAnsi="Arial" w:cs="Arial"/>
          <w:color w:val="000000" w:themeColor="text1"/>
          <w:sz w:val="20"/>
        </w:rPr>
        <w:br w:type="page"/>
      </w:r>
    </w:p>
    <w:p w14:paraId="1C6744C2" w14:textId="77777777" w:rsidR="000C751B" w:rsidRPr="00C14D55" w:rsidRDefault="000C751B" w:rsidP="00422E3D">
      <w:pPr>
        <w:pStyle w:val="VCAAHeading2"/>
        <w:rPr>
          <w:lang w:val="en-AU"/>
        </w:rPr>
      </w:pPr>
      <w:bookmarkStart w:id="43" w:name="_Toc159241240"/>
      <w:r w:rsidRPr="00C14D55">
        <w:rPr>
          <w:lang w:val="en-AU"/>
        </w:rPr>
        <w:lastRenderedPageBreak/>
        <w:t>Authentication</w:t>
      </w:r>
      <w:bookmarkEnd w:id="43"/>
    </w:p>
    <w:p w14:paraId="40C58F4F" w14:textId="0EC51850" w:rsidR="000C751B" w:rsidRPr="00C14D55" w:rsidRDefault="000C751B" w:rsidP="00422E3D">
      <w:pPr>
        <w:pStyle w:val="VCAAbody"/>
        <w:rPr>
          <w:lang w:val="en-AU"/>
        </w:rPr>
      </w:pPr>
      <w:r w:rsidRPr="00C14D55">
        <w:rPr>
          <w:lang w:val="en-AU"/>
        </w:rPr>
        <w:t xml:space="preserve">Work related to the outcomes of each unit will be accepted only if the teacher can attest that, to the best of their knowledge, all unacknowledged work is the student’s own. Teachers need to refer to the current </w:t>
      </w:r>
      <w:r w:rsidR="004B78A4">
        <w:rPr>
          <w:lang w:val="en-AU"/>
        </w:rPr>
        <w:br/>
      </w:r>
      <w:hyperlink r:id="rId29" w:history="1">
        <w:r w:rsidR="004B78A4">
          <w:rPr>
            <w:i/>
            <w:color w:val="0000FF" w:themeColor="hyperlink"/>
            <w:u w:val="single" w:color="0000FF"/>
            <w:lang w:val="en-AU"/>
          </w:rPr>
          <w:t>VCE Administrative Handbook</w:t>
        </w:r>
      </w:hyperlink>
      <w:r w:rsidRPr="00C14D55">
        <w:rPr>
          <w:lang w:val="en-AU"/>
        </w:rPr>
        <w:t xml:space="preserve"> for authentication rules and strategies.</w:t>
      </w:r>
    </w:p>
    <w:p w14:paraId="385BA906" w14:textId="77777777" w:rsidR="009419D9" w:rsidRDefault="009419D9">
      <w:pPr>
        <w:rPr>
          <w:rFonts w:ascii="Arial" w:hAnsi="Arial" w:cs="Arial"/>
          <w:noProof/>
          <w:sz w:val="18"/>
          <w:szCs w:val="18"/>
        </w:rPr>
      </w:pPr>
    </w:p>
    <w:p w14:paraId="3148940B" w14:textId="335733E7" w:rsidR="00D77B2A" w:rsidRPr="006A4C4D" w:rsidRDefault="009419D9">
      <w:pPr>
        <w:rPr>
          <w:rFonts w:ascii="Arial" w:hAnsi="Arial" w:cs="Arial"/>
          <w:color w:val="0F7EB4"/>
          <w:sz w:val="40"/>
          <w:szCs w:val="28"/>
        </w:rPr>
      </w:pPr>
      <w:r w:rsidRPr="006A4C4D">
        <w:rPr>
          <w:rFonts w:ascii="Arial" w:hAnsi="Arial" w:cs="Arial"/>
          <w:color w:val="0F7EB4"/>
          <w:sz w:val="40"/>
          <w:szCs w:val="28"/>
        </w:rPr>
        <w:t>Requirements for teaching this study</w:t>
      </w:r>
    </w:p>
    <w:p w14:paraId="43E46FAE" w14:textId="4519382B" w:rsidR="006A4C4D" w:rsidRPr="006A4C4D" w:rsidRDefault="006A4C4D">
      <w:pPr>
        <w:rPr>
          <w:rFonts w:ascii="Arial" w:hAnsi="Arial" w:cs="Arial"/>
          <w:color w:val="000000" w:themeColor="text1"/>
          <w:sz w:val="20"/>
        </w:rPr>
      </w:pPr>
      <w:r w:rsidRPr="006A4C4D">
        <w:rPr>
          <w:rFonts w:ascii="Arial" w:hAnsi="Arial" w:cs="Arial"/>
          <w:color w:val="000000" w:themeColor="text1"/>
          <w:sz w:val="20"/>
        </w:rPr>
        <w:t>The principal must make sure that students have access to adequate facilities and resources to complete any VCE study they are offered. There are no requirements for specialist facilities</w:t>
      </w:r>
      <w:r>
        <w:rPr>
          <w:rStyle w:val="cf01"/>
        </w:rPr>
        <w:t xml:space="preserve">, </w:t>
      </w:r>
      <w:hyperlink r:id="rId30" w:anchor="teacher-class" w:history="1">
        <w:r w:rsidRPr="006A4C4D">
          <w:rPr>
            <w:rFonts w:ascii="Arial" w:hAnsi="Arial" w:cs="Arial"/>
            <w:color w:val="000000" w:themeColor="text1"/>
            <w:sz w:val="20"/>
          </w:rPr>
          <w:t>teacher qualifications</w:t>
        </w:r>
      </w:hyperlink>
      <w:r w:rsidRPr="006A4C4D">
        <w:rPr>
          <w:rFonts w:ascii="Arial" w:hAnsi="Arial" w:cs="Arial"/>
          <w:color w:val="000000" w:themeColor="text1"/>
          <w:sz w:val="20"/>
        </w:rPr>
        <w:t xml:space="preserve"> and resources specified for this study. </w:t>
      </w:r>
    </w:p>
    <w:p w14:paraId="76179274" w14:textId="5A6D61AA" w:rsidR="00422E3D" w:rsidRPr="006A6C9C" w:rsidRDefault="00422E3D">
      <w:pPr>
        <w:rPr>
          <w:rFonts w:ascii="Arial" w:hAnsi="Arial" w:cs="Arial"/>
          <w:noProof/>
        </w:rPr>
      </w:pPr>
      <w:r w:rsidRPr="006A6C9C">
        <w:rPr>
          <w:rFonts w:ascii="Arial" w:hAnsi="Arial" w:cs="Arial"/>
          <w:noProof/>
        </w:rPr>
        <w:br w:type="page"/>
      </w:r>
    </w:p>
    <w:p w14:paraId="015A544C" w14:textId="1D2F5D89" w:rsidR="000C751B" w:rsidRPr="00C14D55" w:rsidRDefault="000C751B" w:rsidP="00422E3D">
      <w:pPr>
        <w:pStyle w:val="VCAAHeading1"/>
        <w:rPr>
          <w:lang w:val="en-AU"/>
        </w:rPr>
      </w:pPr>
      <w:bookmarkStart w:id="44" w:name="_Toc159241241"/>
      <w:r w:rsidRPr="00C14D55">
        <w:rPr>
          <w:lang w:val="en-AU"/>
        </w:rPr>
        <w:lastRenderedPageBreak/>
        <w:t xml:space="preserve">Characteristics of the </w:t>
      </w:r>
      <w:r w:rsidR="00422E3D" w:rsidRPr="00C14D55">
        <w:rPr>
          <w:lang w:val="en-AU"/>
        </w:rPr>
        <w:t>st</w:t>
      </w:r>
      <w:r w:rsidRPr="00C14D55">
        <w:rPr>
          <w:lang w:val="en-AU"/>
        </w:rPr>
        <w:t>udy</w:t>
      </w:r>
      <w:bookmarkEnd w:id="44"/>
    </w:p>
    <w:p w14:paraId="0160874F" w14:textId="503E7524" w:rsidR="000C751B" w:rsidRPr="00C14D55" w:rsidRDefault="000C751B" w:rsidP="00422E3D">
      <w:pPr>
        <w:pStyle w:val="VCAAHeading2"/>
        <w:ind w:left="567" w:hanging="567"/>
        <w:rPr>
          <w:lang w:val="en-AU" w:eastAsia="en-AU"/>
        </w:rPr>
      </w:pPr>
      <w:bookmarkStart w:id="45" w:name="_Toc130815876"/>
      <w:bookmarkStart w:id="46" w:name="_Toc159241242"/>
      <w:r w:rsidRPr="00C14D55">
        <w:rPr>
          <w:lang w:val="en-AU" w:eastAsia="en-AU"/>
        </w:rPr>
        <w:t xml:space="preserve">Key </w:t>
      </w:r>
      <w:r w:rsidR="00422E3D" w:rsidRPr="00C14D55">
        <w:rPr>
          <w:lang w:val="en-AU" w:eastAsia="en-AU"/>
        </w:rPr>
        <w:t>c</w:t>
      </w:r>
      <w:r w:rsidRPr="00C14D55">
        <w:rPr>
          <w:lang w:val="en-AU" w:eastAsia="en-AU"/>
        </w:rPr>
        <w:t>oncepts and skills</w:t>
      </w:r>
      <w:bookmarkEnd w:id="45"/>
      <w:bookmarkEnd w:id="46"/>
    </w:p>
    <w:p w14:paraId="6F338ECE" w14:textId="775AC383" w:rsidR="000C751B" w:rsidRPr="00C14D55" w:rsidRDefault="000C751B" w:rsidP="00422E3D">
      <w:pPr>
        <w:pStyle w:val="VCAAbody"/>
        <w:rPr>
          <w:lang w:val="en-AU" w:eastAsia="en-AU"/>
        </w:rPr>
      </w:pPr>
      <w:r w:rsidRPr="00C14D55">
        <w:rPr>
          <w:lang w:val="en-AU"/>
        </w:rPr>
        <w:t>The following concepts underpin VCE Health and Human Development</w:t>
      </w:r>
      <w:r w:rsidRPr="00A708DB">
        <w:rPr>
          <w:lang w:val="en-AU"/>
        </w:rPr>
        <w:t xml:space="preserve">. </w:t>
      </w:r>
      <w:r w:rsidR="008C3572">
        <w:rPr>
          <w:lang w:val="en-AU"/>
        </w:rPr>
        <w:t xml:space="preserve">These concepts are used and applied across the study design </w:t>
      </w:r>
      <w:r w:rsidRPr="00C14D55">
        <w:rPr>
          <w:lang w:val="en-AU"/>
        </w:rPr>
        <w:t xml:space="preserve">when framing questions, and discussing, interpreting, </w:t>
      </w:r>
      <w:proofErr w:type="gramStart"/>
      <w:r w:rsidRPr="00C14D55">
        <w:rPr>
          <w:lang w:val="en-AU"/>
        </w:rPr>
        <w:t>analysing</w:t>
      </w:r>
      <w:proofErr w:type="gramEnd"/>
      <w:r w:rsidRPr="00C14D55">
        <w:rPr>
          <w:lang w:val="en-AU"/>
        </w:rPr>
        <w:t xml:space="preserve"> and evaluating content.</w:t>
      </w:r>
    </w:p>
    <w:p w14:paraId="27FA6783" w14:textId="77777777" w:rsidR="000C751B" w:rsidRPr="00C14D55" w:rsidRDefault="000C751B" w:rsidP="00422E3D">
      <w:pPr>
        <w:pStyle w:val="VCAAHeading3"/>
        <w:rPr>
          <w:lang w:val="en-AU" w:eastAsia="en-AU"/>
        </w:rPr>
      </w:pPr>
      <w:bookmarkStart w:id="47" w:name="_Toc130815877"/>
      <w:bookmarkStart w:id="48" w:name="_Toc159241243"/>
      <w:r w:rsidRPr="00C14D55">
        <w:rPr>
          <w:lang w:val="en-AU" w:eastAsia="en-AU"/>
        </w:rPr>
        <w:t>Health and wellbeing</w:t>
      </w:r>
      <w:bookmarkEnd w:id="47"/>
      <w:bookmarkEnd w:id="48"/>
    </w:p>
    <w:p w14:paraId="24958E7E" w14:textId="188847A6" w:rsidR="00586316" w:rsidRDefault="00586316" w:rsidP="00422E3D">
      <w:pPr>
        <w:pStyle w:val="VCAAbody"/>
        <w:rPr>
          <w:shd w:val="clear" w:color="auto" w:fill="FFFFFF"/>
          <w:lang w:val="en-AU"/>
        </w:rPr>
      </w:pPr>
      <w:r w:rsidRPr="00C14D55">
        <w:rPr>
          <w:shd w:val="clear" w:color="auto" w:fill="FFFFFF"/>
          <w:lang w:val="en-AU"/>
        </w:rPr>
        <w:t>The concept of health and wellbeing is embedded across all units of VCE Health and Human Development.</w:t>
      </w:r>
    </w:p>
    <w:p w14:paraId="062265A1" w14:textId="6B2C4333" w:rsidR="00B33A9A" w:rsidRDefault="00B33A9A" w:rsidP="00422E3D">
      <w:pPr>
        <w:pStyle w:val="VCAAbody"/>
        <w:rPr>
          <w:shd w:val="clear" w:color="auto" w:fill="FFFFFF"/>
          <w:lang w:val="en-AU"/>
        </w:rPr>
      </w:pPr>
      <w:r>
        <w:rPr>
          <w:shd w:val="clear" w:color="auto" w:fill="FFFFFF"/>
          <w:lang w:val="en-AU"/>
        </w:rPr>
        <w:t xml:space="preserve">For the purposes of this study, the term </w:t>
      </w:r>
      <w:r w:rsidR="00DF6E27">
        <w:rPr>
          <w:shd w:val="clear" w:color="auto" w:fill="FFFFFF"/>
          <w:lang w:val="en-AU"/>
        </w:rPr>
        <w:t>‘</w:t>
      </w:r>
      <w:r>
        <w:rPr>
          <w:shd w:val="clear" w:color="auto" w:fill="FFFFFF"/>
          <w:lang w:val="en-AU"/>
        </w:rPr>
        <w:t>health</w:t>
      </w:r>
      <w:r w:rsidR="004B1355">
        <w:rPr>
          <w:shd w:val="clear" w:color="auto" w:fill="FFFFFF"/>
          <w:lang w:val="en-AU"/>
        </w:rPr>
        <w:t>’</w:t>
      </w:r>
      <w:r w:rsidR="00586316">
        <w:rPr>
          <w:shd w:val="clear" w:color="auto" w:fill="FFFFFF"/>
          <w:lang w:val="en-AU"/>
        </w:rPr>
        <w:t xml:space="preserve"> </w:t>
      </w:r>
      <w:r>
        <w:rPr>
          <w:shd w:val="clear" w:color="auto" w:fill="FFFFFF"/>
          <w:lang w:val="en-AU"/>
        </w:rPr>
        <w:t>is a broad</w:t>
      </w:r>
      <w:r w:rsidR="007575C8">
        <w:rPr>
          <w:shd w:val="clear" w:color="auto" w:fill="FFFFFF"/>
          <w:lang w:val="en-AU"/>
        </w:rPr>
        <w:t>,</w:t>
      </w:r>
      <w:r>
        <w:rPr>
          <w:shd w:val="clear" w:color="auto" w:fill="FFFFFF"/>
          <w:lang w:val="en-AU"/>
        </w:rPr>
        <w:t xml:space="preserve"> overarching term that includes the concepts of health and wellbeing</w:t>
      </w:r>
      <w:r w:rsidR="00DF6E27">
        <w:rPr>
          <w:shd w:val="clear" w:color="auto" w:fill="FFFFFF"/>
          <w:lang w:val="en-AU"/>
        </w:rPr>
        <w:t>,</w:t>
      </w:r>
      <w:r w:rsidR="00586316">
        <w:rPr>
          <w:shd w:val="clear" w:color="auto" w:fill="FFFFFF"/>
          <w:lang w:val="en-AU"/>
        </w:rPr>
        <w:t xml:space="preserve"> health status</w:t>
      </w:r>
      <w:r w:rsidR="00247EBA">
        <w:rPr>
          <w:shd w:val="clear" w:color="auto" w:fill="FFFFFF"/>
          <w:lang w:val="en-AU"/>
        </w:rPr>
        <w:t xml:space="preserve"> and associated health outcomes</w:t>
      </w:r>
      <w:r w:rsidR="00586316">
        <w:rPr>
          <w:shd w:val="clear" w:color="auto" w:fill="FFFFFF"/>
          <w:lang w:val="en-AU"/>
        </w:rPr>
        <w:t xml:space="preserve">. </w:t>
      </w:r>
    </w:p>
    <w:p w14:paraId="4C61E2AF" w14:textId="0ED6B03C" w:rsidR="000C751B" w:rsidRPr="00C14D55" w:rsidRDefault="000C751B" w:rsidP="00422E3D">
      <w:pPr>
        <w:pStyle w:val="VCAAbody"/>
        <w:rPr>
          <w:shd w:val="clear" w:color="auto" w:fill="FFFFFF"/>
          <w:lang w:val="en-AU"/>
        </w:rPr>
      </w:pPr>
      <w:r w:rsidRPr="00C14D55">
        <w:rPr>
          <w:shd w:val="clear" w:color="auto" w:fill="FFFFFF"/>
          <w:lang w:val="en-AU"/>
        </w:rPr>
        <w:t xml:space="preserve">Students need to develop an understanding of the multidimensional, </w:t>
      </w:r>
      <w:proofErr w:type="gramStart"/>
      <w:r w:rsidRPr="00C14D55">
        <w:rPr>
          <w:shd w:val="clear" w:color="auto" w:fill="FFFFFF"/>
          <w:lang w:val="en-AU"/>
        </w:rPr>
        <w:t>dynamic</w:t>
      </w:r>
      <w:proofErr w:type="gramEnd"/>
      <w:r w:rsidRPr="00C14D55">
        <w:rPr>
          <w:shd w:val="clear" w:color="auto" w:fill="FFFFFF"/>
          <w:lang w:val="en-AU"/>
        </w:rPr>
        <w:t xml:space="preserve"> and subjective nature of the concept of health and wellbeing. </w:t>
      </w:r>
      <w:r w:rsidRPr="00102253">
        <w:rPr>
          <w:shd w:val="clear" w:color="auto" w:fill="FFFFFF"/>
          <w:lang w:val="en-AU"/>
        </w:rPr>
        <w:t xml:space="preserve">Throughout the study design, health and wellbeing is portrayed as having </w:t>
      </w:r>
      <w:r w:rsidR="00CD4903">
        <w:rPr>
          <w:shd w:val="clear" w:color="auto" w:fill="FFFFFF"/>
          <w:lang w:val="en-AU"/>
        </w:rPr>
        <w:br/>
      </w:r>
      <w:r w:rsidR="009A5642">
        <w:rPr>
          <w:shd w:val="clear" w:color="auto" w:fill="FFFFFF"/>
          <w:lang w:val="en-AU"/>
        </w:rPr>
        <w:t>5</w:t>
      </w:r>
      <w:r w:rsidR="009A5642" w:rsidRPr="00D86F4A">
        <w:rPr>
          <w:shd w:val="clear" w:color="auto" w:fill="FFFFFF"/>
          <w:lang w:val="en-AU"/>
        </w:rPr>
        <w:t xml:space="preserve"> </w:t>
      </w:r>
      <w:r w:rsidRPr="00D86F4A">
        <w:rPr>
          <w:shd w:val="clear" w:color="auto" w:fill="FFFFFF"/>
          <w:lang w:val="en-AU"/>
        </w:rPr>
        <w:t>dimension</w:t>
      </w:r>
      <w:r w:rsidR="009476C9" w:rsidRPr="00D86F4A">
        <w:rPr>
          <w:shd w:val="clear" w:color="auto" w:fill="FFFFFF"/>
          <w:lang w:val="en-AU"/>
        </w:rPr>
        <w:t>s:</w:t>
      </w:r>
      <w:r w:rsidRPr="00D86F4A">
        <w:rPr>
          <w:shd w:val="clear" w:color="auto" w:fill="FFFFFF"/>
          <w:lang w:val="en-AU"/>
        </w:rPr>
        <w:t xml:space="preserve"> physical, social, emotional, </w:t>
      </w:r>
      <w:proofErr w:type="gramStart"/>
      <w:r w:rsidRPr="00D86F4A">
        <w:rPr>
          <w:shd w:val="clear" w:color="auto" w:fill="FFFFFF"/>
          <w:lang w:val="en-AU"/>
        </w:rPr>
        <w:t>mental</w:t>
      </w:r>
      <w:proofErr w:type="gramEnd"/>
      <w:r w:rsidRPr="00D86F4A">
        <w:rPr>
          <w:shd w:val="clear" w:color="auto" w:fill="FFFFFF"/>
          <w:lang w:val="en-AU"/>
        </w:rPr>
        <w:t xml:space="preserve"> and spiritual.</w:t>
      </w:r>
      <w:r w:rsidRPr="00C14D55">
        <w:rPr>
          <w:shd w:val="clear" w:color="auto" w:fill="FFFFFF"/>
          <w:lang w:val="en-AU"/>
        </w:rPr>
        <w:t xml:space="preserve"> </w:t>
      </w:r>
      <w:r w:rsidR="00586316">
        <w:rPr>
          <w:shd w:val="clear" w:color="auto" w:fill="FFFFFF"/>
          <w:lang w:val="en-AU"/>
        </w:rPr>
        <w:t>It is important to acknowledge that the</w:t>
      </w:r>
      <w:r w:rsidR="00DF31C8">
        <w:rPr>
          <w:shd w:val="clear" w:color="auto" w:fill="FFFFFF"/>
          <w:lang w:val="en-AU"/>
        </w:rPr>
        <w:t xml:space="preserve"> </w:t>
      </w:r>
      <w:r w:rsidR="00CD4903">
        <w:rPr>
          <w:shd w:val="clear" w:color="auto" w:fill="FFFFFF"/>
          <w:lang w:val="en-AU"/>
        </w:rPr>
        <w:br/>
      </w:r>
      <w:r w:rsidR="00DF31C8">
        <w:rPr>
          <w:shd w:val="clear" w:color="auto" w:fill="FFFFFF"/>
          <w:lang w:val="en-AU"/>
        </w:rPr>
        <w:t>5</w:t>
      </w:r>
      <w:r w:rsidR="001107C3">
        <w:rPr>
          <w:shd w:val="clear" w:color="auto" w:fill="FFFFFF"/>
          <w:lang w:val="en-AU"/>
        </w:rPr>
        <w:t xml:space="preserve"> </w:t>
      </w:r>
      <w:r w:rsidR="00586316">
        <w:rPr>
          <w:shd w:val="clear" w:color="auto" w:fill="FFFFFF"/>
          <w:lang w:val="en-AU"/>
        </w:rPr>
        <w:t xml:space="preserve">dimensions are not discrete but are </w:t>
      </w:r>
      <w:r w:rsidR="001107C3">
        <w:rPr>
          <w:shd w:val="clear" w:color="auto" w:fill="FFFFFF"/>
          <w:lang w:val="en-AU"/>
        </w:rPr>
        <w:t>inter</w:t>
      </w:r>
      <w:r w:rsidR="00586316">
        <w:rPr>
          <w:shd w:val="clear" w:color="auto" w:fill="FFFFFF"/>
          <w:lang w:val="en-AU"/>
        </w:rPr>
        <w:t xml:space="preserve">related and influence </w:t>
      </w:r>
      <w:r w:rsidR="00DF6E27">
        <w:rPr>
          <w:shd w:val="clear" w:color="auto" w:fill="FFFFFF"/>
          <w:lang w:val="en-AU"/>
        </w:rPr>
        <w:t>one an</w:t>
      </w:r>
      <w:r w:rsidR="00586316">
        <w:rPr>
          <w:shd w:val="clear" w:color="auto" w:fill="FFFFFF"/>
          <w:lang w:val="en-AU"/>
        </w:rPr>
        <w:t xml:space="preserve">other. </w:t>
      </w:r>
    </w:p>
    <w:p w14:paraId="62422219" w14:textId="6205A109" w:rsidR="000C751B" w:rsidRDefault="00CB2F12" w:rsidP="00422E3D">
      <w:pPr>
        <w:pStyle w:val="VCAAbody"/>
        <w:rPr>
          <w:shd w:val="clear" w:color="auto" w:fill="FFFFFF"/>
          <w:lang w:val="en-AU"/>
        </w:rPr>
      </w:pPr>
      <w:r>
        <w:rPr>
          <w:shd w:val="clear" w:color="auto" w:fill="FFFFFF"/>
          <w:lang w:val="en-AU"/>
        </w:rPr>
        <w:t>Within</w:t>
      </w:r>
      <w:r w:rsidR="000C751B" w:rsidRPr="00C14D55">
        <w:rPr>
          <w:shd w:val="clear" w:color="auto" w:fill="FFFFFF"/>
          <w:lang w:val="en-AU"/>
        </w:rPr>
        <w:t xml:space="preserve"> this study, students consider wellbeing to be an implicit element of health. Wellbeing is a complex combination of all dimensions of health, characterised by </w:t>
      </w:r>
      <w:r w:rsidR="00F03B43">
        <w:rPr>
          <w:shd w:val="clear" w:color="auto" w:fill="FFFFFF"/>
          <w:lang w:val="en-AU"/>
        </w:rPr>
        <w:t>state of</w:t>
      </w:r>
      <w:r w:rsidR="00F03B43" w:rsidRPr="00C14D55">
        <w:rPr>
          <w:shd w:val="clear" w:color="auto" w:fill="FFFFFF"/>
          <w:lang w:val="en-AU"/>
        </w:rPr>
        <w:t xml:space="preserve"> </w:t>
      </w:r>
      <w:r w:rsidR="000C751B" w:rsidRPr="00C14D55">
        <w:rPr>
          <w:shd w:val="clear" w:color="auto" w:fill="FFFFFF"/>
          <w:lang w:val="en-AU"/>
        </w:rPr>
        <w:t xml:space="preserve">equilibrium in which the individual feels happy, healthy, </w:t>
      </w:r>
      <w:proofErr w:type="gramStart"/>
      <w:r w:rsidR="000C751B" w:rsidRPr="00C14D55">
        <w:rPr>
          <w:shd w:val="clear" w:color="auto" w:fill="FFFFFF"/>
          <w:lang w:val="en-AU"/>
        </w:rPr>
        <w:t>capable</w:t>
      </w:r>
      <w:proofErr w:type="gramEnd"/>
      <w:r w:rsidR="000C751B" w:rsidRPr="00C14D55">
        <w:rPr>
          <w:shd w:val="clear" w:color="auto" w:fill="FFFFFF"/>
          <w:lang w:val="en-AU"/>
        </w:rPr>
        <w:t xml:space="preserve"> and engaged.</w:t>
      </w:r>
    </w:p>
    <w:p w14:paraId="1E2300B6" w14:textId="77777777" w:rsidR="000C751B" w:rsidRPr="00C14D55" w:rsidRDefault="000C751B" w:rsidP="00422E3D">
      <w:pPr>
        <w:pStyle w:val="VCAAHeading3"/>
        <w:rPr>
          <w:lang w:val="en-AU" w:eastAsia="en-AU"/>
        </w:rPr>
      </w:pPr>
      <w:bookmarkStart w:id="49" w:name="_Hlk121982532"/>
      <w:bookmarkStart w:id="50" w:name="_Toc130815878"/>
      <w:bookmarkStart w:id="51" w:name="_Toc159241244"/>
      <w:bookmarkStart w:id="52" w:name="_Hlk121982543"/>
      <w:r w:rsidRPr="00C14D55">
        <w:rPr>
          <w:lang w:val="en-AU" w:eastAsia="en-AU"/>
        </w:rPr>
        <w:t>S</w:t>
      </w:r>
      <w:bookmarkEnd w:id="49"/>
      <w:r w:rsidRPr="00C14D55">
        <w:rPr>
          <w:lang w:val="en-AU" w:eastAsia="en-AU"/>
        </w:rPr>
        <w:t>ocial justice</w:t>
      </w:r>
      <w:bookmarkEnd w:id="50"/>
      <w:bookmarkEnd w:id="51"/>
    </w:p>
    <w:bookmarkEnd w:id="52"/>
    <w:p w14:paraId="3FDF019C" w14:textId="710541D7" w:rsidR="000C751B" w:rsidRPr="00C14D55" w:rsidRDefault="00F03B43" w:rsidP="00422E3D">
      <w:pPr>
        <w:pStyle w:val="VCAAbody"/>
        <w:rPr>
          <w:lang w:val="en-AU" w:eastAsia="en-AU"/>
        </w:rPr>
      </w:pPr>
      <w:r>
        <w:rPr>
          <w:lang w:val="en-AU"/>
        </w:rPr>
        <w:t>VCE Health and Human Development</w:t>
      </w:r>
      <w:r w:rsidR="000C751B" w:rsidRPr="00C14D55">
        <w:rPr>
          <w:lang w:val="en-AU"/>
        </w:rPr>
        <w:t xml:space="preserve"> recognises that social justice is a prerequisite for health and wellbeing. </w:t>
      </w:r>
      <w:r>
        <w:rPr>
          <w:lang w:val="en-AU"/>
        </w:rPr>
        <w:t>The study</w:t>
      </w:r>
      <w:r w:rsidR="000C751B" w:rsidRPr="00C14D55">
        <w:rPr>
          <w:lang w:val="en-AU"/>
        </w:rPr>
        <w:t xml:space="preserve"> uses a social justice lens to explore the variations in health between </w:t>
      </w:r>
      <w:r w:rsidRPr="00C14D55">
        <w:rPr>
          <w:lang w:val="en-AU"/>
        </w:rPr>
        <w:t>population</w:t>
      </w:r>
      <w:r>
        <w:rPr>
          <w:lang w:val="en-AU"/>
        </w:rPr>
        <w:t xml:space="preserve"> groups</w:t>
      </w:r>
      <w:r w:rsidR="000C751B" w:rsidRPr="00C14D55">
        <w:rPr>
          <w:lang w:val="en-AU"/>
        </w:rPr>
        <w:t xml:space="preserve">, as well as within and between countries. </w:t>
      </w:r>
    </w:p>
    <w:p w14:paraId="694DA00D" w14:textId="77777777" w:rsidR="000C751B" w:rsidRPr="00C14D55" w:rsidRDefault="000C751B" w:rsidP="00422E3D">
      <w:pPr>
        <w:pStyle w:val="VCAAbody"/>
        <w:rPr>
          <w:lang w:val="en-AU"/>
        </w:rPr>
      </w:pPr>
      <w:r w:rsidRPr="00C14D55">
        <w:rPr>
          <w:lang w:val="en-AU"/>
        </w:rPr>
        <w:t>Social justice relates to fairness within society. A socially just society is necessary for health and wellbeing and cannot be achieved without the principles of:</w:t>
      </w:r>
    </w:p>
    <w:p w14:paraId="01B46145" w14:textId="215D8624" w:rsidR="000C751B" w:rsidRPr="00AA4567" w:rsidRDefault="000C751B" w:rsidP="00BD6117">
      <w:pPr>
        <w:pStyle w:val="VCAAbullet"/>
      </w:pPr>
      <w:r w:rsidRPr="00AA4567">
        <w:t>human rights, where society protects, respects and promotes everyone’s rights</w:t>
      </w:r>
      <w:r w:rsidR="005608A7">
        <w:t xml:space="preserve"> and </w:t>
      </w:r>
      <w:proofErr w:type="gramStart"/>
      <w:r w:rsidR="005608A7">
        <w:t>freedoms</w:t>
      </w:r>
      <w:proofErr w:type="gramEnd"/>
    </w:p>
    <w:p w14:paraId="00044047" w14:textId="43F96601" w:rsidR="000C751B" w:rsidRPr="00AA4567" w:rsidRDefault="000C751B" w:rsidP="00BD6117">
      <w:pPr>
        <w:pStyle w:val="VCAAbullet"/>
      </w:pPr>
      <w:r w:rsidRPr="00AA4567">
        <w:t>access, where everyone in society has access to equal opportunities and the resources they need to thrive, including the prerequisites for health and wellbeing</w:t>
      </w:r>
      <w:r w:rsidR="00296772">
        <w:t xml:space="preserve"> </w:t>
      </w:r>
      <w:r w:rsidRPr="00AA4567">
        <w:t xml:space="preserve">such as food, income and </w:t>
      </w:r>
      <w:proofErr w:type="gramStart"/>
      <w:r w:rsidRPr="00AA4567">
        <w:t>education</w:t>
      </w:r>
      <w:proofErr w:type="gramEnd"/>
      <w:r w:rsidRPr="00AA4567">
        <w:t xml:space="preserve"> </w:t>
      </w:r>
    </w:p>
    <w:p w14:paraId="3E229DB7" w14:textId="4CBEC10C" w:rsidR="000C751B" w:rsidRPr="00AA4567" w:rsidRDefault="000C751B" w:rsidP="00BD6117">
      <w:pPr>
        <w:pStyle w:val="VCAAbullet"/>
      </w:pPr>
      <w:r w:rsidRPr="00AA4567">
        <w:t xml:space="preserve">participation, where everyone in society is encouraged to participate in their community and have their voice </w:t>
      </w:r>
      <w:proofErr w:type="gramStart"/>
      <w:r w:rsidR="001107C3" w:rsidRPr="00AA4567">
        <w:t>re</w:t>
      </w:r>
      <w:r w:rsidR="001107C3">
        <w:t>presented</w:t>
      </w:r>
      <w:proofErr w:type="gramEnd"/>
    </w:p>
    <w:p w14:paraId="51094F9D" w14:textId="750DCC0C" w:rsidR="000C751B" w:rsidRPr="00AA4567" w:rsidRDefault="000C751B" w:rsidP="00BD6117">
      <w:pPr>
        <w:pStyle w:val="VCAAbullet"/>
      </w:pPr>
      <w:r w:rsidRPr="00AA4567">
        <w:t xml:space="preserve">equity, which addresses the factors that cause inequality and provides strategies to ensure fairness. Equity is not about treating everyone equally but rather </w:t>
      </w:r>
      <w:r w:rsidR="00632DF9" w:rsidRPr="00AA4567">
        <w:t xml:space="preserve">about </w:t>
      </w:r>
      <w:r w:rsidRPr="00AA4567">
        <w:t>providing what individuals or groups require for health and wellbeing</w:t>
      </w:r>
      <w:r w:rsidR="00F7295B" w:rsidRPr="00AA4567">
        <w:t>.</w:t>
      </w:r>
    </w:p>
    <w:p w14:paraId="6A37B6C0" w14:textId="02B3ECFD" w:rsidR="000C751B" w:rsidRPr="00C14D55" w:rsidRDefault="000C751B" w:rsidP="00422E3D">
      <w:pPr>
        <w:pStyle w:val="VCAAHeading3"/>
        <w:rPr>
          <w:lang w:val="en-AU" w:eastAsia="en-AU"/>
        </w:rPr>
      </w:pPr>
      <w:bookmarkStart w:id="53" w:name="_Toc130815879"/>
      <w:bookmarkStart w:id="54" w:name="_Toc159241245"/>
      <w:r w:rsidRPr="00C14D55">
        <w:rPr>
          <w:lang w:val="en-AU" w:eastAsia="en-AU"/>
        </w:rPr>
        <w:t>Factors that influence health and wellbeing</w:t>
      </w:r>
      <w:bookmarkEnd w:id="53"/>
      <w:bookmarkEnd w:id="54"/>
    </w:p>
    <w:p w14:paraId="766AE1DA" w14:textId="5E943128" w:rsidR="000C751B" w:rsidRPr="00C14D55" w:rsidRDefault="000C751B" w:rsidP="00422E3D">
      <w:pPr>
        <w:pStyle w:val="VCAAbody"/>
        <w:rPr>
          <w:lang w:val="en-AU"/>
        </w:rPr>
      </w:pPr>
      <w:r w:rsidRPr="00C14D55">
        <w:rPr>
          <w:lang w:val="en-AU"/>
        </w:rPr>
        <w:t>Across all units</w:t>
      </w:r>
      <w:r w:rsidR="00947B18">
        <w:rPr>
          <w:lang w:val="en-AU"/>
        </w:rPr>
        <w:t>,</w:t>
      </w:r>
      <w:r w:rsidRPr="00C14D55">
        <w:rPr>
          <w:lang w:val="en-AU"/>
        </w:rPr>
        <w:t xml:space="preserve"> students should develop an understanding of the factors that influence health and wellbeing</w:t>
      </w:r>
      <w:r w:rsidR="00632DF9">
        <w:rPr>
          <w:lang w:val="en-AU"/>
        </w:rPr>
        <w:t>,</w:t>
      </w:r>
      <w:r w:rsidRPr="00C14D55">
        <w:rPr>
          <w:lang w:val="en-AU"/>
        </w:rPr>
        <w:t xml:space="preserve"> and health status. Within the study</w:t>
      </w:r>
      <w:r w:rsidR="00947B18">
        <w:rPr>
          <w:lang w:val="en-AU"/>
        </w:rPr>
        <w:t>,</w:t>
      </w:r>
      <w:r w:rsidRPr="00C14D55">
        <w:rPr>
          <w:lang w:val="en-AU"/>
        </w:rPr>
        <w:t xml:space="preserve"> </w:t>
      </w:r>
      <w:r w:rsidR="006116EC">
        <w:rPr>
          <w:lang w:val="en-AU"/>
        </w:rPr>
        <w:t xml:space="preserve">these </w:t>
      </w:r>
      <w:r w:rsidRPr="00C14D55">
        <w:rPr>
          <w:lang w:val="en-AU"/>
        </w:rPr>
        <w:t xml:space="preserve">factors are classified as biological, </w:t>
      </w:r>
      <w:proofErr w:type="gramStart"/>
      <w:r w:rsidRPr="00C14D55">
        <w:rPr>
          <w:lang w:val="en-AU"/>
        </w:rPr>
        <w:t>sociocultural</w:t>
      </w:r>
      <w:proofErr w:type="gramEnd"/>
      <w:r w:rsidRPr="00C14D55">
        <w:rPr>
          <w:lang w:val="en-AU"/>
        </w:rPr>
        <w:t xml:space="preserve"> and environmental. Some examples include:</w:t>
      </w:r>
    </w:p>
    <w:p w14:paraId="7D675CEE" w14:textId="73D3F80A" w:rsidR="000C751B" w:rsidRPr="00C14D55" w:rsidRDefault="007601F2" w:rsidP="00BD6117">
      <w:pPr>
        <w:pStyle w:val="VCAAbullet"/>
      </w:pPr>
      <w:r>
        <w:t>b</w:t>
      </w:r>
      <w:r w:rsidRPr="00C14D55">
        <w:t xml:space="preserve">iological </w:t>
      </w:r>
      <w:r>
        <w:t xml:space="preserve">factors, including </w:t>
      </w:r>
      <w:r w:rsidR="000C751B" w:rsidRPr="00C14D55">
        <w:t>genetics, body weight, blood pressure, hormones</w:t>
      </w:r>
      <w:r>
        <w:t xml:space="preserve"> and</w:t>
      </w:r>
      <w:r w:rsidR="000C751B" w:rsidRPr="00C14D55">
        <w:t xml:space="preserve"> cholesterol </w:t>
      </w:r>
      <w:proofErr w:type="gramStart"/>
      <w:r w:rsidR="000C751B" w:rsidRPr="00C14D55">
        <w:t>levels</w:t>
      </w:r>
      <w:proofErr w:type="gramEnd"/>
    </w:p>
    <w:p w14:paraId="16E9D33E" w14:textId="5D33B31B" w:rsidR="006C5840" w:rsidRDefault="007601F2" w:rsidP="00BD6117">
      <w:pPr>
        <w:pStyle w:val="VCAAbullet"/>
      </w:pPr>
      <w:r>
        <w:t>s</w:t>
      </w:r>
      <w:r w:rsidRPr="00C14D55">
        <w:t xml:space="preserve">ociocultural </w:t>
      </w:r>
      <w:r>
        <w:t>factors, including</w:t>
      </w:r>
      <w:r w:rsidR="000C751B" w:rsidRPr="00C14D55">
        <w:t xml:space="preserve"> socioeconomic status, level of education, employment status, cultural background, social networks (</w:t>
      </w:r>
      <w:r w:rsidR="004F2472">
        <w:t>for example,</w:t>
      </w:r>
      <w:r w:rsidR="000C751B" w:rsidRPr="00C14D55">
        <w:t xml:space="preserve"> family</w:t>
      </w:r>
      <w:r>
        <w:t xml:space="preserve"> and</w:t>
      </w:r>
      <w:r w:rsidR="000C751B" w:rsidRPr="00C14D55">
        <w:t xml:space="preserve"> peer group), social expectations and attitudes </w:t>
      </w:r>
      <w:r w:rsidR="00CD4903">
        <w:br/>
      </w:r>
      <w:r w:rsidR="000C751B" w:rsidRPr="00C14D55">
        <w:t>(</w:t>
      </w:r>
      <w:r w:rsidR="004F2472">
        <w:t>for example,</w:t>
      </w:r>
      <w:r w:rsidR="000C751B" w:rsidRPr="00C14D55">
        <w:t xml:space="preserve"> gender expectations), cultural traditions</w:t>
      </w:r>
      <w:r w:rsidR="00FA4E23">
        <w:t>, and</w:t>
      </w:r>
      <w:r w:rsidR="00714D4B">
        <w:t xml:space="preserve"> </w:t>
      </w:r>
      <w:r w:rsidR="00FA4E23">
        <w:t>a subset of sociocultural factors:</w:t>
      </w:r>
      <w:r w:rsidR="00A13889" w:rsidRPr="00C14D55">
        <w:t xml:space="preserve"> </w:t>
      </w:r>
    </w:p>
    <w:p w14:paraId="016516AB" w14:textId="27C44CB2" w:rsidR="000C751B" w:rsidRPr="00C14D55" w:rsidRDefault="00F31577" w:rsidP="00BD6117">
      <w:pPr>
        <w:pStyle w:val="VCAAbulletlevel2"/>
      </w:pPr>
      <w:r>
        <w:lastRenderedPageBreak/>
        <w:t>c</w:t>
      </w:r>
      <w:r w:rsidR="00A13889" w:rsidRPr="00C14D55">
        <w:t>ommercial factors</w:t>
      </w:r>
      <w:r w:rsidR="00FA4E23">
        <w:t xml:space="preserve">, that is, </w:t>
      </w:r>
      <w:r w:rsidR="00A13889" w:rsidRPr="00C14D55">
        <w:t>conditions, actions and policies of corporate organisations that impact health and wellbeing, either positively or negatively</w:t>
      </w:r>
      <w:r w:rsidR="003458DC">
        <w:t>; commercial factors</w:t>
      </w:r>
      <w:r w:rsidR="00FA4E23">
        <w:t xml:space="preserve"> </w:t>
      </w:r>
      <w:r>
        <w:t>include</w:t>
      </w:r>
      <w:r w:rsidR="00A13889" w:rsidRPr="00C14D55">
        <w:t xml:space="preserve"> supply chains, product design, packaging and labelling, distribution and affordability, lobbying, marketing strategies and the use of </w:t>
      </w:r>
      <w:proofErr w:type="gramStart"/>
      <w:r w:rsidR="00A13889" w:rsidRPr="00C14D55">
        <w:t>media</w:t>
      </w:r>
      <w:proofErr w:type="gramEnd"/>
    </w:p>
    <w:p w14:paraId="1E234982" w14:textId="076827A8" w:rsidR="000C751B" w:rsidRPr="00C14D55" w:rsidRDefault="007601F2" w:rsidP="00BD6117">
      <w:pPr>
        <w:pStyle w:val="VCAAbullet"/>
      </w:pPr>
      <w:r>
        <w:t>e</w:t>
      </w:r>
      <w:r w:rsidRPr="00C14D55">
        <w:t xml:space="preserve">nvironmental </w:t>
      </w:r>
      <w:r>
        <w:t xml:space="preserve">factors, including </w:t>
      </w:r>
      <w:r w:rsidR="000C751B" w:rsidRPr="00C14D55">
        <w:t>geographic location</w:t>
      </w:r>
      <w:r w:rsidR="00CB2F12">
        <w:t>,</w:t>
      </w:r>
      <w:r w:rsidR="000C751B" w:rsidRPr="00C14D55">
        <w:t xml:space="preserve"> quality of air and water, safe workplaces, </w:t>
      </w:r>
      <w:r w:rsidR="00CB2F12">
        <w:t xml:space="preserve">housing environment, </w:t>
      </w:r>
      <w:r w:rsidR="000C751B" w:rsidRPr="00C14D55">
        <w:t>community safety, access to physical resources within a community (</w:t>
      </w:r>
      <w:r w:rsidR="004F2472">
        <w:t>for example,</w:t>
      </w:r>
      <w:r w:rsidR="000C751B" w:rsidRPr="00C14D55">
        <w:t xml:space="preserve"> transportation, recreation facilities and health services)</w:t>
      </w:r>
      <w:r w:rsidR="00EF7CD2">
        <w:t>.</w:t>
      </w:r>
    </w:p>
    <w:p w14:paraId="0F3FC1E1" w14:textId="223C1DF2" w:rsidR="000C751B" w:rsidRPr="00C14D55" w:rsidRDefault="000C751B" w:rsidP="00422E3D">
      <w:pPr>
        <w:pStyle w:val="VCAAHeading3"/>
        <w:rPr>
          <w:lang w:val="en-AU" w:eastAsia="en-AU"/>
        </w:rPr>
      </w:pPr>
      <w:bookmarkStart w:id="55" w:name="_Toc130815880"/>
      <w:bookmarkStart w:id="56" w:name="_Toc159241246"/>
      <w:r w:rsidRPr="00C14D55">
        <w:rPr>
          <w:lang w:val="en-AU" w:eastAsia="en-AU"/>
        </w:rPr>
        <w:t>Sustainability</w:t>
      </w:r>
      <w:bookmarkEnd w:id="55"/>
      <w:bookmarkEnd w:id="56"/>
      <w:r w:rsidRPr="00C14D55">
        <w:rPr>
          <w:lang w:val="en-AU" w:eastAsia="en-AU"/>
        </w:rPr>
        <w:t xml:space="preserve"> </w:t>
      </w:r>
    </w:p>
    <w:p w14:paraId="1BFD8DE9" w14:textId="60A997A2" w:rsidR="000C751B" w:rsidRPr="00C14D55" w:rsidRDefault="000C751B" w:rsidP="00422E3D">
      <w:pPr>
        <w:pStyle w:val="VCAAbody"/>
        <w:rPr>
          <w:lang w:val="en-AU" w:eastAsia="en-AU"/>
        </w:rPr>
      </w:pPr>
      <w:r w:rsidRPr="00C14D55">
        <w:rPr>
          <w:lang w:val="en-AU" w:eastAsia="en-AU"/>
        </w:rPr>
        <w:t xml:space="preserve">Sustainability addresses the ongoing capacity of </w:t>
      </w:r>
      <w:r w:rsidR="0050498A" w:rsidRPr="00C14D55">
        <w:rPr>
          <w:lang w:val="en-AU" w:eastAsia="en-AU"/>
        </w:rPr>
        <w:t xml:space="preserve">the </w:t>
      </w:r>
      <w:r w:rsidR="002E19B8" w:rsidRPr="00C14D55">
        <w:rPr>
          <w:lang w:val="en-AU" w:eastAsia="en-AU"/>
        </w:rPr>
        <w:t>planet</w:t>
      </w:r>
      <w:r w:rsidRPr="00C14D55">
        <w:rPr>
          <w:lang w:val="en-AU" w:eastAsia="en-AU"/>
        </w:rPr>
        <w:t xml:space="preserve"> to maintain all life. Sustainable patterns of living seek to meet the needs of the present generation without compromising the </w:t>
      </w:r>
      <w:r w:rsidR="00B17BA2">
        <w:rPr>
          <w:lang w:val="en-AU" w:eastAsia="en-AU"/>
        </w:rPr>
        <w:t>ability</w:t>
      </w:r>
      <w:r w:rsidRPr="00C14D55">
        <w:rPr>
          <w:lang w:val="en-AU" w:eastAsia="en-AU"/>
        </w:rPr>
        <w:t xml:space="preserve"> of future generations</w:t>
      </w:r>
      <w:r w:rsidR="00B17BA2">
        <w:rPr>
          <w:lang w:val="en-AU" w:eastAsia="en-AU"/>
        </w:rPr>
        <w:t xml:space="preserve"> to meet their needs</w:t>
      </w:r>
      <w:r w:rsidRPr="00C14D55">
        <w:rPr>
          <w:lang w:val="en-AU" w:eastAsia="en-AU"/>
        </w:rPr>
        <w:t>.  </w:t>
      </w:r>
    </w:p>
    <w:p w14:paraId="6939EDD2" w14:textId="26CE747E" w:rsidR="000C751B" w:rsidRPr="00C14D55" w:rsidRDefault="000C751B" w:rsidP="00422E3D">
      <w:pPr>
        <w:pStyle w:val="VCAAbody"/>
        <w:rPr>
          <w:lang w:val="en-AU"/>
        </w:rPr>
      </w:pPr>
      <w:r w:rsidRPr="00C14D55">
        <w:rPr>
          <w:lang w:val="en-AU"/>
        </w:rPr>
        <w:t xml:space="preserve">Sustainability is presented throughout this study as a complex, holistic concept comprising </w:t>
      </w:r>
      <w:r w:rsidR="009A5642">
        <w:rPr>
          <w:lang w:val="en-AU"/>
        </w:rPr>
        <w:t>3</w:t>
      </w:r>
      <w:r w:rsidR="009A5642" w:rsidRPr="00C14D55">
        <w:rPr>
          <w:lang w:val="en-AU"/>
        </w:rPr>
        <w:t xml:space="preserve"> </w:t>
      </w:r>
      <w:r w:rsidRPr="00C14D55">
        <w:rPr>
          <w:lang w:val="en-AU"/>
        </w:rPr>
        <w:t xml:space="preserve">dimensions: environmental, </w:t>
      </w:r>
      <w:proofErr w:type="gramStart"/>
      <w:r w:rsidRPr="00C14D55">
        <w:rPr>
          <w:lang w:val="en-AU"/>
        </w:rPr>
        <w:t>economic</w:t>
      </w:r>
      <w:proofErr w:type="gramEnd"/>
      <w:r w:rsidRPr="00C14D55">
        <w:rPr>
          <w:lang w:val="en-AU"/>
        </w:rPr>
        <w:t xml:space="preserve"> and social. </w:t>
      </w:r>
    </w:p>
    <w:p w14:paraId="6E658ABF" w14:textId="65950FDA" w:rsidR="000C751B" w:rsidRPr="00C14D55" w:rsidRDefault="000C751B" w:rsidP="00BD6117">
      <w:pPr>
        <w:pStyle w:val="VCAAbullet"/>
      </w:pPr>
      <w:r w:rsidRPr="00C14D55">
        <w:t xml:space="preserve">The environmental dimension focuses on ensuring that the resources of the planet are available for future generations and includes </w:t>
      </w:r>
      <w:r w:rsidR="00DC4A84">
        <w:t xml:space="preserve">addressing </w:t>
      </w:r>
      <w:r w:rsidRPr="00C14D55">
        <w:t>water quality, air quality</w:t>
      </w:r>
      <w:r w:rsidR="00DC4A84">
        <w:t xml:space="preserve"> and</w:t>
      </w:r>
      <w:r w:rsidR="00DC4A84" w:rsidRPr="00C14D55">
        <w:t xml:space="preserve"> </w:t>
      </w:r>
      <w:r w:rsidRPr="00C14D55">
        <w:t>food security</w:t>
      </w:r>
      <w:r w:rsidR="00DC4A84">
        <w:t>,</w:t>
      </w:r>
      <w:r w:rsidRPr="00C14D55">
        <w:t xml:space="preserve"> as well as reducing environmental stressors such as greenhouse gases. Human health depends greatly on the quality of a person's environment, inextricably linking health and wellbeing to the state of the environment.</w:t>
      </w:r>
    </w:p>
    <w:p w14:paraId="4888AC16" w14:textId="429D1E3B" w:rsidR="000C751B" w:rsidRPr="00C14D55" w:rsidRDefault="000C751B" w:rsidP="00BD6117">
      <w:pPr>
        <w:pStyle w:val="VCAAbullet"/>
      </w:pPr>
      <w:r w:rsidRPr="00C14D55">
        <w:t xml:space="preserve">The economic dimension is about using resources efficiently so that economic growth continues over time; </w:t>
      </w:r>
      <w:r w:rsidR="006B0FD9">
        <w:t>economic growth</w:t>
      </w:r>
      <w:r w:rsidR="006B0FD9" w:rsidRPr="00C14D55">
        <w:t xml:space="preserve"> </w:t>
      </w:r>
      <w:r w:rsidRPr="00C14D55">
        <w:t xml:space="preserve">includes opportunities for employment and job security as well as financial security for individuals, families, </w:t>
      </w:r>
      <w:proofErr w:type="gramStart"/>
      <w:r w:rsidRPr="00C14D55">
        <w:t>communities</w:t>
      </w:r>
      <w:proofErr w:type="gramEnd"/>
      <w:r w:rsidRPr="00C14D55">
        <w:t xml:space="preserve"> and nations. The economic dimension of sustainability contributes to the eradication of poverty and ensures that individuals, </w:t>
      </w:r>
      <w:r w:rsidR="006B0FD9">
        <w:t xml:space="preserve">families, </w:t>
      </w:r>
      <w:proofErr w:type="gramStart"/>
      <w:r w:rsidRPr="00C14D55">
        <w:t>communities</w:t>
      </w:r>
      <w:proofErr w:type="gramEnd"/>
      <w:r w:rsidRPr="00C14D55">
        <w:t xml:space="preserve"> and nations have the resources necessary to promote health and wellbeing</w:t>
      </w:r>
      <w:r w:rsidR="009A0D45">
        <w:t xml:space="preserve">, </w:t>
      </w:r>
      <w:r w:rsidRPr="00C14D55">
        <w:t>now and into the future.</w:t>
      </w:r>
    </w:p>
    <w:p w14:paraId="3E3E94A5" w14:textId="4969DE5F" w:rsidR="000C751B" w:rsidRPr="00C14D55" w:rsidRDefault="000C751B" w:rsidP="00BD6117">
      <w:pPr>
        <w:pStyle w:val="VCAAbullet"/>
      </w:pPr>
      <w:r w:rsidRPr="00C14D55">
        <w:t>The social dimension is about ensuring that people have access to social resources both today and in the future. It includes access to human rights, education, health</w:t>
      </w:r>
      <w:r w:rsidR="002402C1">
        <w:t xml:space="preserve"> </w:t>
      </w:r>
      <w:r w:rsidRPr="00C14D55">
        <w:t xml:space="preserve">care, political </w:t>
      </w:r>
      <w:proofErr w:type="gramStart"/>
      <w:r w:rsidRPr="00C14D55">
        <w:t>empowerment</w:t>
      </w:r>
      <w:proofErr w:type="gramEnd"/>
      <w:r w:rsidRPr="00C14D55">
        <w:t xml:space="preserve"> and connection to community. Social sustainability builds skills and capacities, improves the quality of </w:t>
      </w:r>
      <w:proofErr w:type="gramStart"/>
      <w:r w:rsidRPr="00C14D55">
        <w:t>lives</w:t>
      </w:r>
      <w:proofErr w:type="gramEnd"/>
      <w:r w:rsidR="00D506F9">
        <w:t xml:space="preserve"> and </w:t>
      </w:r>
      <w:r w:rsidRPr="00C14D55">
        <w:t>increases equity, inclusion and resilience</w:t>
      </w:r>
      <w:r w:rsidR="00D506F9">
        <w:t>,</w:t>
      </w:r>
      <w:r w:rsidRPr="00C14D55">
        <w:t xml:space="preserve"> and is therefore essential for the health and wellbeing of individuals as well as local, national and global communities.</w:t>
      </w:r>
    </w:p>
    <w:p w14:paraId="01D950D1" w14:textId="309ECA35" w:rsidR="000C751B" w:rsidRPr="00C14D55" w:rsidRDefault="005608A7" w:rsidP="00422E3D">
      <w:pPr>
        <w:pStyle w:val="VCAAbody"/>
        <w:rPr>
          <w:lang w:val="en-AU" w:eastAsia="en-AU"/>
        </w:rPr>
      </w:pPr>
      <w:r w:rsidRPr="00AA2146">
        <w:t>VCE Health and Human Development focuses on sustainability by considering the relationship between health and wellbeing</w:t>
      </w:r>
      <w:r>
        <w:t>,</w:t>
      </w:r>
      <w:r w:rsidRPr="00AA2146">
        <w:t xml:space="preserve"> and the health of the planet, ensuring that the study is </w:t>
      </w:r>
      <w:proofErr w:type="gramStart"/>
      <w:r w:rsidRPr="00AA2146">
        <w:t>future-orientated</w:t>
      </w:r>
      <w:proofErr w:type="gramEnd"/>
      <w:r w:rsidR="000C751B" w:rsidRPr="00AA2146">
        <w:t>.</w:t>
      </w:r>
      <w:r w:rsidR="000C751B" w:rsidRPr="00C14D55">
        <w:rPr>
          <w:lang w:val="en-AU" w:eastAsia="en-AU"/>
        </w:rPr>
        <w:t xml:space="preserve"> The study encourages students to reflect on how they interpret and engage with the world. It is designed to raise student awareness to create a more environmentally, </w:t>
      </w:r>
      <w:proofErr w:type="gramStart"/>
      <w:r w:rsidR="000C751B" w:rsidRPr="00C14D55">
        <w:rPr>
          <w:lang w:val="en-AU" w:eastAsia="en-AU"/>
        </w:rPr>
        <w:t>economically</w:t>
      </w:r>
      <w:proofErr w:type="gramEnd"/>
      <w:r w:rsidR="000C751B" w:rsidRPr="00C14D55">
        <w:rPr>
          <w:lang w:val="en-AU" w:eastAsia="en-AU"/>
        </w:rPr>
        <w:t xml:space="preserve"> and socially just world. </w:t>
      </w:r>
    </w:p>
    <w:p w14:paraId="4D1A4FFC" w14:textId="77777777" w:rsidR="000C751B" w:rsidRPr="00C14D55" w:rsidRDefault="000C751B" w:rsidP="00422E3D">
      <w:pPr>
        <w:pStyle w:val="VCAAHeading3"/>
        <w:rPr>
          <w:lang w:val="en-AU" w:eastAsia="en-AU"/>
        </w:rPr>
      </w:pPr>
      <w:bookmarkStart w:id="57" w:name="_Toc130815881"/>
      <w:bookmarkStart w:id="58" w:name="_Toc159241247"/>
      <w:r w:rsidRPr="00C14D55">
        <w:rPr>
          <w:lang w:val="en-AU" w:eastAsia="en-AU"/>
        </w:rPr>
        <w:t>Data analysis</w:t>
      </w:r>
      <w:bookmarkEnd w:id="57"/>
      <w:bookmarkEnd w:id="58"/>
      <w:r w:rsidRPr="00C14D55">
        <w:rPr>
          <w:lang w:val="en-AU" w:eastAsia="en-AU"/>
        </w:rPr>
        <w:t xml:space="preserve"> </w:t>
      </w:r>
    </w:p>
    <w:p w14:paraId="057B560C" w14:textId="663A298C" w:rsidR="000C751B" w:rsidRPr="00C14D55" w:rsidRDefault="000C751B" w:rsidP="00422E3D">
      <w:pPr>
        <w:pStyle w:val="VCAAbody"/>
        <w:rPr>
          <w:lang w:val="en-AU" w:eastAsia="en-AU"/>
        </w:rPr>
      </w:pPr>
      <w:r w:rsidRPr="00C14D55">
        <w:rPr>
          <w:lang w:val="en-AU" w:eastAsia="en-AU"/>
        </w:rPr>
        <w:t xml:space="preserve">Embedded within all units of </w:t>
      </w:r>
      <w:r w:rsidR="00DC4A84">
        <w:rPr>
          <w:lang w:val="en-AU" w:eastAsia="en-AU"/>
        </w:rPr>
        <w:t xml:space="preserve">VCE </w:t>
      </w:r>
      <w:r w:rsidRPr="00C14D55">
        <w:rPr>
          <w:lang w:val="en-AU" w:eastAsia="en-AU"/>
        </w:rPr>
        <w:t xml:space="preserve">Health and Human Development </w:t>
      </w:r>
      <w:r w:rsidR="005608A7">
        <w:rPr>
          <w:lang w:val="en-AU" w:eastAsia="en-AU"/>
        </w:rPr>
        <w:t>are</w:t>
      </w:r>
      <w:r w:rsidR="005608A7" w:rsidRPr="00C14D55">
        <w:rPr>
          <w:lang w:val="en-AU" w:eastAsia="en-AU"/>
        </w:rPr>
        <w:t xml:space="preserve"> </w:t>
      </w:r>
      <w:r w:rsidRPr="00C14D55">
        <w:rPr>
          <w:lang w:val="en-AU" w:eastAsia="en-AU"/>
        </w:rPr>
        <w:t>the analysis and interpretation of health data. Data analysis is a tool that allows students to develop health literacy and informs the critical inquiry approach. Students should have opportunit</w:t>
      </w:r>
      <w:r w:rsidR="00A32230" w:rsidRPr="00C14D55">
        <w:rPr>
          <w:lang w:val="en-AU" w:eastAsia="en-AU"/>
        </w:rPr>
        <w:t>ies</w:t>
      </w:r>
      <w:r w:rsidRPr="00C14D55">
        <w:rPr>
          <w:lang w:val="en-AU" w:eastAsia="en-AU"/>
        </w:rPr>
        <w:t xml:space="preserve"> to </w:t>
      </w:r>
      <w:r w:rsidR="00144969" w:rsidRPr="00C14D55">
        <w:rPr>
          <w:lang w:val="en-AU" w:eastAsia="en-AU"/>
        </w:rPr>
        <w:t xml:space="preserve">analyse </w:t>
      </w:r>
      <w:r w:rsidR="00144969">
        <w:rPr>
          <w:lang w:val="en-AU" w:eastAsia="en-AU"/>
        </w:rPr>
        <w:t xml:space="preserve">and </w:t>
      </w:r>
      <w:r w:rsidRPr="00C14D55">
        <w:rPr>
          <w:lang w:val="en-AU" w:eastAsia="en-AU"/>
        </w:rPr>
        <w:t>interpret a wide range of data types, such as tables, graphs (</w:t>
      </w:r>
      <w:r w:rsidR="00C85DF2">
        <w:rPr>
          <w:lang w:val="en-AU" w:eastAsia="en-AU"/>
        </w:rPr>
        <w:t xml:space="preserve">for example, </w:t>
      </w:r>
      <w:r w:rsidRPr="00C14D55">
        <w:rPr>
          <w:lang w:val="en-AU" w:eastAsia="en-AU"/>
        </w:rPr>
        <w:t xml:space="preserve">bar, </w:t>
      </w:r>
      <w:proofErr w:type="gramStart"/>
      <w:r w:rsidRPr="00C14D55">
        <w:rPr>
          <w:lang w:val="en-AU" w:eastAsia="en-AU"/>
        </w:rPr>
        <w:t>line</w:t>
      </w:r>
      <w:proofErr w:type="gramEnd"/>
      <w:r w:rsidRPr="00C14D55">
        <w:rPr>
          <w:lang w:val="en-AU" w:eastAsia="en-AU"/>
        </w:rPr>
        <w:t xml:space="preserve"> and pie graphs), infographics, quotations and case studies. Students should also develop familiarity with a range of data measures such as percentages and ratios.</w:t>
      </w:r>
    </w:p>
    <w:p w14:paraId="67A0BDE8" w14:textId="7CD27FE5" w:rsidR="000C751B" w:rsidRPr="00C14D55" w:rsidRDefault="000C751B" w:rsidP="00820656">
      <w:pPr>
        <w:pStyle w:val="VCAAbody"/>
        <w:spacing w:after="60"/>
        <w:rPr>
          <w:lang w:val="en-AU"/>
        </w:rPr>
      </w:pPr>
      <w:r w:rsidRPr="00C14D55">
        <w:rPr>
          <w:lang w:val="en-AU" w:eastAsia="en-AU"/>
        </w:rPr>
        <w:t>Some points of key knowledge require students to collect data</w:t>
      </w:r>
      <w:r w:rsidR="0074058C">
        <w:rPr>
          <w:lang w:val="en-AU" w:eastAsia="en-AU"/>
        </w:rPr>
        <w:t>. This</w:t>
      </w:r>
      <w:r w:rsidRPr="00C14D55">
        <w:rPr>
          <w:lang w:val="en-AU"/>
        </w:rPr>
        <w:t xml:space="preserve"> does not need </w:t>
      </w:r>
      <w:r w:rsidR="00144969">
        <w:rPr>
          <w:lang w:val="en-AU"/>
        </w:rPr>
        <w:t xml:space="preserve">to </w:t>
      </w:r>
      <w:r w:rsidRPr="00C14D55">
        <w:rPr>
          <w:lang w:val="en-AU"/>
        </w:rPr>
        <w:t xml:space="preserve">be </w:t>
      </w:r>
      <w:r w:rsidR="00144969">
        <w:rPr>
          <w:lang w:val="en-AU"/>
        </w:rPr>
        <w:t xml:space="preserve">on a </w:t>
      </w:r>
      <w:r w:rsidRPr="00C14D55">
        <w:rPr>
          <w:lang w:val="en-AU"/>
        </w:rPr>
        <w:t xml:space="preserve">large scale </w:t>
      </w:r>
      <w:r w:rsidR="0074058C">
        <w:rPr>
          <w:lang w:val="en-AU"/>
        </w:rPr>
        <w:t>and</w:t>
      </w:r>
      <w:r w:rsidRPr="00C14D55">
        <w:rPr>
          <w:lang w:val="en-AU"/>
        </w:rPr>
        <w:t xml:space="preserve"> could include:</w:t>
      </w:r>
    </w:p>
    <w:p w14:paraId="1CA26C4A" w14:textId="75C5D833" w:rsidR="000C751B" w:rsidRPr="00C14D55" w:rsidRDefault="00C85DF2" w:rsidP="00BD6117">
      <w:pPr>
        <w:pStyle w:val="VCAAbullet"/>
      </w:pPr>
      <w:r>
        <w:t>surveying</w:t>
      </w:r>
      <w:r w:rsidR="000C751B" w:rsidRPr="00C14D55">
        <w:t xml:space="preserve"> students within the class group or their peer group</w:t>
      </w:r>
    </w:p>
    <w:p w14:paraId="1E2101CA" w14:textId="63759101" w:rsidR="000C751B" w:rsidRPr="00C14D55" w:rsidRDefault="000C751B" w:rsidP="00BD6117">
      <w:pPr>
        <w:pStyle w:val="VCAAbullet"/>
      </w:pPr>
      <w:r w:rsidRPr="00C14D55">
        <w:t>intervie</w:t>
      </w:r>
      <w:r w:rsidR="00C85DF2">
        <w:t>wing</w:t>
      </w:r>
      <w:r w:rsidRPr="00C14D55">
        <w:t xml:space="preserve"> family members or other students</w:t>
      </w:r>
    </w:p>
    <w:p w14:paraId="734E70FB" w14:textId="0B572EE9" w:rsidR="000C751B" w:rsidRPr="00C14D55" w:rsidRDefault="00C85DF2" w:rsidP="00BD6117">
      <w:pPr>
        <w:pStyle w:val="VCAAbullet"/>
      </w:pPr>
      <w:r>
        <w:t xml:space="preserve">making </w:t>
      </w:r>
      <w:r w:rsidR="000C751B" w:rsidRPr="00C14D55">
        <w:t>direct observation</w:t>
      </w:r>
      <w:r>
        <w:t>s</w:t>
      </w:r>
    </w:p>
    <w:p w14:paraId="23513BC8" w14:textId="613A8BD1" w:rsidR="000C751B" w:rsidRPr="00C14D55" w:rsidRDefault="000C751B" w:rsidP="00BD6117">
      <w:pPr>
        <w:pStyle w:val="VCAAbullet"/>
      </w:pPr>
      <w:r w:rsidRPr="00C14D55">
        <w:t>conducting an audit of health service</w:t>
      </w:r>
      <w:r w:rsidR="00A6614F">
        <w:t>s</w:t>
      </w:r>
      <w:r w:rsidRPr="00C14D55">
        <w:t xml:space="preserve"> in their local community</w:t>
      </w:r>
    </w:p>
    <w:p w14:paraId="7E6F1F06" w14:textId="7E299DC7" w:rsidR="000C751B" w:rsidRPr="00C14D55" w:rsidRDefault="000C751B" w:rsidP="00BD6117">
      <w:pPr>
        <w:pStyle w:val="VCAAbullet"/>
      </w:pPr>
      <w:r w:rsidRPr="00C14D55">
        <w:lastRenderedPageBreak/>
        <w:t>us</w:t>
      </w:r>
      <w:r w:rsidR="00C85DF2">
        <w:t>ing</w:t>
      </w:r>
      <w:r w:rsidRPr="00C14D55">
        <w:t xml:space="preserve"> secondary data from a range of sources.</w:t>
      </w:r>
    </w:p>
    <w:p w14:paraId="0806324D" w14:textId="12F934B0" w:rsidR="000C751B" w:rsidRPr="00C14D55" w:rsidRDefault="00C85DF2" w:rsidP="00422E3D">
      <w:pPr>
        <w:pStyle w:val="VCAAbody"/>
        <w:rPr>
          <w:lang w:val="en-AU"/>
        </w:rPr>
      </w:pPr>
      <w:r>
        <w:rPr>
          <w:lang w:val="en-AU"/>
        </w:rPr>
        <w:t>Before asking</w:t>
      </w:r>
      <w:r w:rsidR="000C751B" w:rsidRPr="00C14D55">
        <w:rPr>
          <w:lang w:val="en-AU"/>
        </w:rPr>
        <w:t xml:space="preserve"> students to collect data, teachers should discuss</w:t>
      </w:r>
      <w:r w:rsidR="00A32230" w:rsidRPr="00C14D55">
        <w:rPr>
          <w:lang w:val="en-AU"/>
        </w:rPr>
        <w:t xml:space="preserve"> with them</w:t>
      </w:r>
      <w:r w:rsidR="000C751B" w:rsidRPr="00C14D55">
        <w:rPr>
          <w:lang w:val="en-AU"/>
        </w:rPr>
        <w:t xml:space="preserve"> the ethical principles of conducting research</w:t>
      </w:r>
      <w:r w:rsidR="00A32230" w:rsidRPr="00C14D55">
        <w:rPr>
          <w:lang w:val="en-AU"/>
        </w:rPr>
        <w:t xml:space="preserve">. </w:t>
      </w:r>
      <w:r w:rsidR="009C3582" w:rsidRPr="00C14D55">
        <w:rPr>
          <w:lang w:val="en-AU"/>
        </w:rPr>
        <w:t>Th</w:t>
      </w:r>
      <w:r w:rsidR="009C3582">
        <w:rPr>
          <w:lang w:val="en-AU"/>
        </w:rPr>
        <w:t>ese</w:t>
      </w:r>
      <w:r w:rsidR="009C3582" w:rsidRPr="00C14D55">
        <w:rPr>
          <w:lang w:val="en-AU"/>
        </w:rPr>
        <w:t xml:space="preserve"> </w:t>
      </w:r>
      <w:r w:rsidR="000C751B" w:rsidRPr="00C14D55">
        <w:rPr>
          <w:lang w:val="en-AU"/>
        </w:rPr>
        <w:t>include the concepts of:</w:t>
      </w:r>
    </w:p>
    <w:p w14:paraId="70C47708" w14:textId="7412D790" w:rsidR="000C751B" w:rsidRPr="00C14D55" w:rsidRDefault="00C85DF2" w:rsidP="00BD6117">
      <w:pPr>
        <w:pStyle w:val="VCAAbullet"/>
      </w:pPr>
      <w:r>
        <w:t xml:space="preserve">obtaining </w:t>
      </w:r>
      <w:r w:rsidR="000C751B" w:rsidRPr="00C14D55">
        <w:t>informed consent</w:t>
      </w:r>
    </w:p>
    <w:p w14:paraId="3C175D8D" w14:textId="4DA85735" w:rsidR="000C751B" w:rsidRPr="00C14D55" w:rsidRDefault="000C751B" w:rsidP="00BD6117">
      <w:pPr>
        <w:pStyle w:val="VCAAbullet"/>
      </w:pPr>
      <w:r w:rsidRPr="00C14D55">
        <w:t>do</w:t>
      </w:r>
      <w:r w:rsidR="00C85DF2">
        <w:t>ing</w:t>
      </w:r>
      <w:r w:rsidRPr="00C14D55">
        <w:t xml:space="preserve"> no harm to the participants, </w:t>
      </w:r>
      <w:proofErr w:type="gramStart"/>
      <w:r w:rsidRPr="00C14D55">
        <w:t>researcher</w:t>
      </w:r>
      <w:proofErr w:type="gramEnd"/>
      <w:r w:rsidRPr="00C14D55">
        <w:t xml:space="preserve"> or community</w:t>
      </w:r>
    </w:p>
    <w:p w14:paraId="676CB693" w14:textId="602820BB" w:rsidR="000C751B" w:rsidRPr="00C14D55" w:rsidRDefault="00C85DF2" w:rsidP="00BD6117">
      <w:pPr>
        <w:pStyle w:val="VCAAbullet"/>
      </w:pPr>
      <w:r>
        <w:t xml:space="preserve">respecting </w:t>
      </w:r>
      <w:r w:rsidR="000C751B" w:rsidRPr="00C14D55">
        <w:t xml:space="preserve">the individual’s right to privacy.  </w:t>
      </w:r>
    </w:p>
    <w:p w14:paraId="50A502C3" w14:textId="33930213" w:rsidR="000C751B" w:rsidRPr="00C14D55" w:rsidRDefault="000C751B" w:rsidP="00422E3D">
      <w:pPr>
        <w:pStyle w:val="VCAAbody"/>
        <w:rPr>
          <w:lang w:val="en-AU"/>
        </w:rPr>
      </w:pPr>
      <w:r w:rsidRPr="00C14D55">
        <w:rPr>
          <w:lang w:val="en-AU"/>
        </w:rPr>
        <w:t xml:space="preserve">Teachers </w:t>
      </w:r>
      <w:r w:rsidR="00C85DF2">
        <w:rPr>
          <w:lang w:val="en-AU"/>
        </w:rPr>
        <w:t xml:space="preserve">must </w:t>
      </w:r>
      <w:r w:rsidRPr="00C14D55">
        <w:rPr>
          <w:lang w:val="en-AU"/>
        </w:rPr>
        <w:t xml:space="preserve">ensure that </w:t>
      </w:r>
      <w:r w:rsidR="00A32230" w:rsidRPr="00C14D55">
        <w:rPr>
          <w:lang w:val="en-AU"/>
        </w:rPr>
        <w:t xml:space="preserve">students use </w:t>
      </w:r>
      <w:r w:rsidRPr="00C14D55">
        <w:rPr>
          <w:lang w:val="en-AU"/>
        </w:rPr>
        <w:t xml:space="preserve">data collection methods </w:t>
      </w:r>
      <w:r w:rsidR="00A32230" w:rsidRPr="00C14D55">
        <w:rPr>
          <w:lang w:val="en-AU"/>
        </w:rPr>
        <w:t xml:space="preserve">that </w:t>
      </w:r>
      <w:r w:rsidRPr="00C14D55">
        <w:rPr>
          <w:lang w:val="en-AU"/>
        </w:rPr>
        <w:t xml:space="preserve">do not require </w:t>
      </w:r>
      <w:r w:rsidR="00A32230" w:rsidRPr="00C14D55">
        <w:rPr>
          <w:kern w:val="22"/>
          <w:lang w:val="en-AU" w:eastAsia="ja-JP"/>
        </w:rPr>
        <w:t xml:space="preserve">them </w:t>
      </w:r>
      <w:r w:rsidRPr="00C14D55">
        <w:rPr>
          <w:kern w:val="22"/>
          <w:lang w:val="en-AU" w:eastAsia="ja-JP"/>
        </w:rPr>
        <w:t>to disclose personal information about their health status or health</w:t>
      </w:r>
      <w:r w:rsidRPr="00C14D55">
        <w:rPr>
          <w:lang w:val="en-AU"/>
        </w:rPr>
        <w:t xml:space="preserve"> behaviours. Data collection practices </w:t>
      </w:r>
      <w:r w:rsidR="00C85DF2">
        <w:rPr>
          <w:lang w:val="en-AU"/>
        </w:rPr>
        <w:t>must</w:t>
      </w:r>
      <w:r w:rsidRPr="00C14D55">
        <w:rPr>
          <w:lang w:val="en-AU"/>
        </w:rPr>
        <w:t xml:space="preserve"> be consistent with school policies. </w:t>
      </w:r>
    </w:p>
    <w:p w14:paraId="5C012B6A" w14:textId="7077324A" w:rsidR="000C751B" w:rsidRPr="00C14D55" w:rsidRDefault="000C751B" w:rsidP="00422E3D">
      <w:pPr>
        <w:pStyle w:val="VCAAHeading3"/>
        <w:rPr>
          <w:lang w:val="en-AU" w:eastAsia="en-AU"/>
        </w:rPr>
      </w:pPr>
      <w:bookmarkStart w:id="59" w:name="_Toc130815882"/>
      <w:bookmarkStart w:id="60" w:name="_Toc159241248"/>
      <w:r w:rsidRPr="00C14D55">
        <w:rPr>
          <w:lang w:val="en-AU" w:eastAsia="en-AU"/>
        </w:rPr>
        <w:t>Aboriginal and Torres Strait Island</w:t>
      </w:r>
      <w:r w:rsidR="00A32230" w:rsidRPr="00C14D55">
        <w:rPr>
          <w:lang w:val="en-AU" w:eastAsia="en-AU"/>
        </w:rPr>
        <w:t>er</w:t>
      </w:r>
      <w:r w:rsidRPr="00C14D55">
        <w:rPr>
          <w:lang w:val="en-AU" w:eastAsia="en-AU"/>
        </w:rPr>
        <w:t xml:space="preserve"> </w:t>
      </w:r>
      <w:r w:rsidR="009A5642">
        <w:rPr>
          <w:lang w:val="en-AU" w:eastAsia="en-AU"/>
        </w:rPr>
        <w:t>P</w:t>
      </w:r>
      <w:r w:rsidR="009A5642" w:rsidRPr="00C14D55">
        <w:rPr>
          <w:lang w:val="en-AU" w:eastAsia="en-AU"/>
        </w:rPr>
        <w:t>eoples’</w:t>
      </w:r>
      <w:r w:rsidRPr="00C14D55">
        <w:rPr>
          <w:lang w:val="en-AU" w:eastAsia="en-AU"/>
        </w:rPr>
        <w:t xml:space="preserve"> knowledge, culture and perspectives on health and wellbeing</w:t>
      </w:r>
      <w:bookmarkEnd w:id="59"/>
      <w:bookmarkEnd w:id="60"/>
    </w:p>
    <w:p w14:paraId="33EB6158" w14:textId="5A4A81F8" w:rsidR="000C751B" w:rsidRPr="00C14D55" w:rsidRDefault="000C751B" w:rsidP="00422E3D">
      <w:pPr>
        <w:pStyle w:val="VCAAbody"/>
        <w:rPr>
          <w:lang w:val="en-AU"/>
        </w:rPr>
      </w:pPr>
      <w:r w:rsidRPr="00C14D55">
        <w:rPr>
          <w:lang w:val="en-AU"/>
        </w:rPr>
        <w:t>Aboriginal and Torres Strait Island</w:t>
      </w:r>
      <w:r w:rsidR="00A32230" w:rsidRPr="00C14D55">
        <w:rPr>
          <w:lang w:val="en-AU"/>
        </w:rPr>
        <w:t>er</w:t>
      </w:r>
      <w:r w:rsidRPr="00C14D55">
        <w:rPr>
          <w:lang w:val="en-AU"/>
        </w:rPr>
        <w:t xml:space="preserve"> </w:t>
      </w:r>
      <w:r w:rsidR="009A5642">
        <w:rPr>
          <w:lang w:val="en-AU"/>
        </w:rPr>
        <w:t>P</w:t>
      </w:r>
      <w:r w:rsidR="009A5642" w:rsidRPr="00C14D55">
        <w:rPr>
          <w:lang w:val="en-AU"/>
        </w:rPr>
        <w:t xml:space="preserve">eoples </w:t>
      </w:r>
      <w:r w:rsidRPr="00C14D55">
        <w:rPr>
          <w:lang w:val="en-AU"/>
        </w:rPr>
        <w:t>are the first Australians, and the oldest</w:t>
      </w:r>
      <w:r w:rsidR="003E7028">
        <w:rPr>
          <w:lang w:val="en-AU"/>
        </w:rPr>
        <w:t xml:space="preserve"> </w:t>
      </w:r>
      <w:r w:rsidRPr="00C14D55">
        <w:rPr>
          <w:lang w:val="en-AU"/>
        </w:rPr>
        <w:t>continuous living cultures in human history. They have diverse cultures</w:t>
      </w:r>
      <w:r w:rsidR="00941F56">
        <w:rPr>
          <w:lang w:val="en-AU"/>
        </w:rPr>
        <w:t xml:space="preserve"> and</w:t>
      </w:r>
      <w:r w:rsidRPr="00C14D55">
        <w:rPr>
          <w:lang w:val="en-AU"/>
        </w:rPr>
        <w:t xml:space="preserve"> social and kinship structures</w:t>
      </w:r>
      <w:r w:rsidR="00941F56">
        <w:rPr>
          <w:lang w:val="en-AU"/>
        </w:rPr>
        <w:t>,</w:t>
      </w:r>
      <w:r w:rsidRPr="00C14D55">
        <w:rPr>
          <w:lang w:val="en-AU"/>
        </w:rPr>
        <w:t xml:space="preserve"> and unique, complex knowledge systems. VCE Health and Human Development provides opportunities for students to develop</w:t>
      </w:r>
      <w:r w:rsidR="00A82366">
        <w:rPr>
          <w:lang w:val="en-AU"/>
        </w:rPr>
        <w:t xml:space="preserve"> their</w:t>
      </w:r>
      <w:r w:rsidRPr="00C14D55">
        <w:rPr>
          <w:lang w:val="en-AU"/>
        </w:rPr>
        <w:t xml:space="preserve"> understanding of Aboriginal and Torres Strait Island</w:t>
      </w:r>
      <w:r w:rsidR="00A32230" w:rsidRPr="00C14D55">
        <w:rPr>
          <w:lang w:val="en-AU"/>
        </w:rPr>
        <w:t>er</w:t>
      </w:r>
      <w:r w:rsidRPr="00C14D55">
        <w:rPr>
          <w:lang w:val="en-AU"/>
        </w:rPr>
        <w:t xml:space="preserve"> perspectives </w:t>
      </w:r>
      <w:r w:rsidR="007F3D2C">
        <w:rPr>
          <w:lang w:val="en-AU"/>
        </w:rPr>
        <w:t>on</w:t>
      </w:r>
      <w:r w:rsidR="007F3D2C" w:rsidRPr="00C14D55">
        <w:rPr>
          <w:lang w:val="en-AU"/>
        </w:rPr>
        <w:t xml:space="preserve"> </w:t>
      </w:r>
      <w:r w:rsidRPr="00C14D55">
        <w:rPr>
          <w:lang w:val="en-AU"/>
        </w:rPr>
        <w:t xml:space="preserve">health and wellbeing, as well as </w:t>
      </w:r>
      <w:r w:rsidR="001F664E">
        <w:rPr>
          <w:lang w:val="en-AU"/>
        </w:rPr>
        <w:t xml:space="preserve">of </w:t>
      </w:r>
      <w:r w:rsidRPr="00C14D55">
        <w:rPr>
          <w:lang w:val="en-AU"/>
        </w:rPr>
        <w:t>the factors that impact their health status.</w:t>
      </w:r>
    </w:p>
    <w:p w14:paraId="68022CA8" w14:textId="6B0B578F" w:rsidR="000C751B" w:rsidRPr="00C14D55" w:rsidRDefault="000C751B" w:rsidP="00422E3D">
      <w:pPr>
        <w:pStyle w:val="VCAAbody"/>
        <w:rPr>
          <w:lang w:val="en-AU"/>
        </w:rPr>
      </w:pPr>
      <w:r w:rsidRPr="00C14D55">
        <w:rPr>
          <w:lang w:val="en-AU"/>
        </w:rPr>
        <w:t>Teachers are encouraged to include Aboriginal and Torres Strait Island</w:t>
      </w:r>
      <w:r w:rsidR="00A32230" w:rsidRPr="00C14D55">
        <w:rPr>
          <w:lang w:val="en-AU"/>
        </w:rPr>
        <w:t>er</w:t>
      </w:r>
      <w:r w:rsidRPr="00C14D55">
        <w:rPr>
          <w:lang w:val="en-AU"/>
        </w:rPr>
        <w:t xml:space="preserve"> knowledge and perspectives in the design and delivery of teaching and learning programs related to VCE Health and Human Development. Many local Aboriginal and Torres Strait Island</w:t>
      </w:r>
      <w:r w:rsidR="00A32230" w:rsidRPr="00C14D55">
        <w:rPr>
          <w:lang w:val="en-AU"/>
        </w:rPr>
        <w:t>er</w:t>
      </w:r>
      <w:r w:rsidRPr="00C14D55">
        <w:rPr>
          <w:lang w:val="en-AU"/>
        </w:rPr>
        <w:t xml:space="preserve"> communities have protocols that they have developed in relation to education. The Victorian </w:t>
      </w:r>
      <w:proofErr w:type="spellStart"/>
      <w:r w:rsidRPr="00C14D55">
        <w:rPr>
          <w:lang w:val="en-AU"/>
        </w:rPr>
        <w:t>Koorie</w:t>
      </w:r>
      <w:proofErr w:type="spellEnd"/>
      <w:r w:rsidRPr="00C14D55">
        <w:rPr>
          <w:lang w:val="en-AU"/>
        </w:rPr>
        <w:t xml:space="preserve"> community-preferred education model enables teachers to focus inclusively on supporting students to consider Victorian </w:t>
      </w:r>
      <w:proofErr w:type="spellStart"/>
      <w:r w:rsidRPr="00C14D55">
        <w:rPr>
          <w:lang w:val="en-AU"/>
        </w:rPr>
        <w:t>Koorie</w:t>
      </w:r>
      <w:proofErr w:type="spellEnd"/>
      <w:r w:rsidRPr="00C14D55">
        <w:rPr>
          <w:lang w:val="en-AU"/>
        </w:rPr>
        <w:t xml:space="preserve"> education matters, and systematically support students to learn about local, regional, </w:t>
      </w:r>
      <w:proofErr w:type="gramStart"/>
      <w:r w:rsidRPr="00C14D55">
        <w:rPr>
          <w:lang w:val="en-AU"/>
        </w:rPr>
        <w:t>state</w:t>
      </w:r>
      <w:proofErr w:type="gramEnd"/>
      <w:r w:rsidRPr="00C14D55">
        <w:rPr>
          <w:lang w:val="en-AU"/>
        </w:rPr>
        <w:t xml:space="preserve"> and national Aboriginal and Torres Strait Island</w:t>
      </w:r>
      <w:r w:rsidR="00A32230" w:rsidRPr="00C14D55">
        <w:rPr>
          <w:lang w:val="en-AU"/>
        </w:rPr>
        <w:t>er</w:t>
      </w:r>
      <w:r w:rsidRPr="00C14D55">
        <w:rPr>
          <w:lang w:val="en-AU"/>
        </w:rPr>
        <w:t xml:space="preserve"> </w:t>
      </w:r>
      <w:r w:rsidR="009A5642">
        <w:rPr>
          <w:lang w:val="en-AU"/>
        </w:rPr>
        <w:t>P</w:t>
      </w:r>
      <w:r w:rsidR="009A5642" w:rsidRPr="00C14D55">
        <w:rPr>
          <w:lang w:val="en-AU"/>
        </w:rPr>
        <w:t xml:space="preserve">eoples’ </w:t>
      </w:r>
      <w:r w:rsidRPr="00C14D55">
        <w:rPr>
          <w:lang w:val="en-AU"/>
        </w:rPr>
        <w:t xml:space="preserve">perspectives. </w:t>
      </w:r>
      <w:r w:rsidRPr="00BB09CE">
        <w:rPr>
          <w:lang w:val="en-AU"/>
        </w:rPr>
        <w:t>VCE studies involve a focused extension of this model and include a broader application of national and international perspectives.</w:t>
      </w:r>
    </w:p>
    <w:p w14:paraId="12AA5D90" w14:textId="4148AB0D" w:rsidR="00820656" w:rsidRPr="00C14D55" w:rsidRDefault="000C751B" w:rsidP="00422E3D">
      <w:pPr>
        <w:pStyle w:val="VCAAbody"/>
        <w:rPr>
          <w:color w:val="0000FF" w:themeColor="hyperlink"/>
          <w:u w:val="single"/>
          <w:lang w:val="en-AU"/>
        </w:rPr>
      </w:pPr>
      <w:r w:rsidRPr="00C14D55">
        <w:rPr>
          <w:i/>
          <w:iCs/>
          <w:lang w:val="en-AU"/>
        </w:rPr>
        <w:t xml:space="preserve">Protocols for </w:t>
      </w:r>
      <w:proofErr w:type="spellStart"/>
      <w:r w:rsidRPr="00C14D55">
        <w:rPr>
          <w:i/>
          <w:iCs/>
          <w:lang w:val="en-AU"/>
        </w:rPr>
        <w:t>Koorie</w:t>
      </w:r>
      <w:proofErr w:type="spellEnd"/>
      <w:r w:rsidRPr="00C14D55">
        <w:rPr>
          <w:i/>
          <w:iCs/>
          <w:lang w:val="en-AU"/>
        </w:rPr>
        <w:t xml:space="preserve"> education in Victorian schools</w:t>
      </w:r>
      <w:r w:rsidRPr="00C14D55">
        <w:rPr>
          <w:lang w:val="en-AU"/>
        </w:rPr>
        <w:t xml:space="preserve">, and other resources relating to the inclusion of Aboriginal and Torres Strait Island </w:t>
      </w:r>
      <w:r w:rsidR="009A5642">
        <w:rPr>
          <w:lang w:val="en-AU"/>
        </w:rPr>
        <w:t>P</w:t>
      </w:r>
      <w:r w:rsidR="009A5642" w:rsidRPr="00C14D55">
        <w:rPr>
          <w:lang w:val="en-AU"/>
        </w:rPr>
        <w:t>eoples</w:t>
      </w:r>
      <w:r w:rsidR="009A5642">
        <w:rPr>
          <w:lang w:val="en-AU"/>
        </w:rPr>
        <w:t>’</w:t>
      </w:r>
      <w:r w:rsidR="009A5642" w:rsidRPr="00C14D55">
        <w:rPr>
          <w:lang w:val="en-AU"/>
        </w:rPr>
        <w:t xml:space="preserve"> </w:t>
      </w:r>
      <w:r w:rsidRPr="00C14D55">
        <w:rPr>
          <w:lang w:val="en-AU"/>
        </w:rPr>
        <w:t>knowledge and perspectives</w:t>
      </w:r>
      <w:r w:rsidR="00BB5A3A">
        <w:rPr>
          <w:lang w:val="en-AU"/>
        </w:rPr>
        <w:t>,</w:t>
      </w:r>
      <w:r w:rsidRPr="00C14D55">
        <w:rPr>
          <w:lang w:val="en-AU"/>
        </w:rPr>
        <w:t xml:space="preserve"> may be accessed at </w:t>
      </w:r>
      <w:hyperlink r:id="rId31" w:history="1">
        <w:r w:rsidR="00820656" w:rsidRPr="00C14D55">
          <w:rPr>
            <w:rStyle w:val="Hyperlink"/>
            <w:lang w:val="en-AU"/>
          </w:rPr>
          <w:t>VAEAI</w:t>
        </w:r>
      </w:hyperlink>
      <w:r w:rsidR="00820656" w:rsidRPr="00C14D55">
        <w:rPr>
          <w:color w:val="0000FF" w:themeColor="hyperlink"/>
          <w:lang w:val="en-AU"/>
        </w:rPr>
        <w:t>.</w:t>
      </w:r>
    </w:p>
    <w:p w14:paraId="14C7CAEB" w14:textId="5F64A875" w:rsidR="000C751B" w:rsidRPr="00C14D55" w:rsidRDefault="000C751B" w:rsidP="007208A6">
      <w:pPr>
        <w:pStyle w:val="VCAAHeading2"/>
        <w:rPr>
          <w:sz w:val="24"/>
          <w:szCs w:val="20"/>
          <w:lang w:val="en-AU" w:eastAsia="en-AU"/>
        </w:rPr>
      </w:pPr>
      <w:bookmarkStart w:id="61" w:name="_Toc130815883"/>
      <w:bookmarkStart w:id="62" w:name="_Toc159241249"/>
      <w:r w:rsidRPr="00C14D55">
        <w:rPr>
          <w:lang w:val="en-AU" w:eastAsia="en-AU"/>
        </w:rPr>
        <w:t>Propositions of health</w:t>
      </w:r>
      <w:bookmarkEnd w:id="61"/>
      <w:bookmarkEnd w:id="62"/>
    </w:p>
    <w:p w14:paraId="1AE41EF0" w14:textId="0A5D4238" w:rsidR="00EA5F6B" w:rsidRPr="00EA5F6B" w:rsidRDefault="00EA5F6B" w:rsidP="00EA5F6B">
      <w:pPr>
        <w:pStyle w:val="VCAAbody"/>
        <w:rPr>
          <w:lang w:eastAsia="en-AU"/>
        </w:rPr>
      </w:pPr>
      <w:r w:rsidRPr="00EA5F6B">
        <w:rPr>
          <w:lang w:eastAsia="en-AU"/>
        </w:rPr>
        <w:t>The following propositions of</w:t>
      </w:r>
      <w:r>
        <w:rPr>
          <w:lang w:eastAsia="en-AU"/>
        </w:rPr>
        <w:t xml:space="preserve"> </w:t>
      </w:r>
      <w:r w:rsidR="001D0089">
        <w:rPr>
          <w:lang w:eastAsia="en-AU"/>
        </w:rPr>
        <w:t xml:space="preserve">health contained within </w:t>
      </w:r>
      <w:r>
        <w:rPr>
          <w:lang w:eastAsia="en-AU"/>
        </w:rPr>
        <w:t xml:space="preserve">the </w:t>
      </w:r>
      <w:r w:rsidR="001D0089">
        <w:rPr>
          <w:lang w:eastAsia="en-AU"/>
        </w:rPr>
        <w:t xml:space="preserve">Health and Physical Education </w:t>
      </w:r>
      <w:r>
        <w:rPr>
          <w:lang w:eastAsia="en-AU"/>
        </w:rPr>
        <w:t>Victorian Curriculum F</w:t>
      </w:r>
      <w:r w:rsidR="00131AC0">
        <w:rPr>
          <w:lang w:eastAsia="en-AU"/>
        </w:rPr>
        <w:t>–</w:t>
      </w:r>
      <w:r>
        <w:rPr>
          <w:lang w:eastAsia="en-AU"/>
        </w:rPr>
        <w:t xml:space="preserve">10 </w:t>
      </w:r>
      <w:r w:rsidR="001D0089">
        <w:rPr>
          <w:lang w:eastAsia="en-AU"/>
        </w:rPr>
        <w:t>should be applied to all units of VCE Health and Human Development.</w:t>
      </w:r>
      <w:r w:rsidRPr="00EA5F6B">
        <w:rPr>
          <w:lang w:eastAsia="en-AU"/>
        </w:rPr>
        <w:t xml:space="preserve"> </w:t>
      </w:r>
    </w:p>
    <w:p w14:paraId="501B1F39" w14:textId="33CE9955" w:rsidR="000C751B" w:rsidRPr="00C14D55" w:rsidRDefault="00131AC0" w:rsidP="00422E3D">
      <w:pPr>
        <w:pStyle w:val="VCAAHeading3"/>
        <w:rPr>
          <w:lang w:val="en-AU" w:eastAsia="en-AU"/>
        </w:rPr>
      </w:pPr>
      <w:bookmarkStart w:id="63" w:name="_Toc130815884"/>
      <w:bookmarkStart w:id="64" w:name="_Toc159241250"/>
      <w:r>
        <w:rPr>
          <w:lang w:val="en-AU" w:eastAsia="en-AU"/>
        </w:rPr>
        <w:t>S</w:t>
      </w:r>
      <w:r w:rsidR="000C751B" w:rsidRPr="00C14D55">
        <w:rPr>
          <w:lang w:val="en-AU" w:eastAsia="en-AU"/>
        </w:rPr>
        <w:t>trengths-based approach</w:t>
      </w:r>
      <w:bookmarkEnd w:id="63"/>
      <w:bookmarkEnd w:id="64"/>
      <w:r w:rsidR="000C751B" w:rsidRPr="00C14D55">
        <w:rPr>
          <w:lang w:val="en-AU" w:eastAsia="en-AU"/>
        </w:rPr>
        <w:t xml:space="preserve"> </w:t>
      </w:r>
    </w:p>
    <w:p w14:paraId="2D9F506F" w14:textId="48D65CBD" w:rsidR="00820656" w:rsidRPr="00C14D55" w:rsidRDefault="000C751B" w:rsidP="00F70CB6">
      <w:pPr>
        <w:pStyle w:val="VCAAbody"/>
      </w:pPr>
      <w:r w:rsidRPr="00C14D55">
        <w:rPr>
          <w:lang w:val="en-AU"/>
        </w:rPr>
        <w:t xml:space="preserve">The </w:t>
      </w:r>
      <w:r w:rsidR="00131AC0">
        <w:rPr>
          <w:lang w:val="en-AU"/>
        </w:rPr>
        <w:t xml:space="preserve">VCE </w:t>
      </w:r>
      <w:r w:rsidRPr="00C14D55">
        <w:rPr>
          <w:lang w:val="en-AU"/>
        </w:rPr>
        <w:t>Health and Human Development study adopts a strengths-based approach that affirms that all individuals and their communities have strengths and resources that can be nurtured to improve their own and others</w:t>
      </w:r>
      <w:r w:rsidR="000F4667" w:rsidRPr="00C14D55">
        <w:rPr>
          <w:lang w:val="en-AU"/>
        </w:rPr>
        <w:t>’</w:t>
      </w:r>
      <w:r w:rsidRPr="00C14D55">
        <w:rPr>
          <w:lang w:val="en-AU"/>
        </w:rPr>
        <w:t xml:space="preserve"> health</w:t>
      </w:r>
      <w:r w:rsidR="007F12CE" w:rsidRPr="00C14D55">
        <w:rPr>
          <w:lang w:val="en-AU"/>
        </w:rPr>
        <w:t xml:space="preserve"> and</w:t>
      </w:r>
      <w:r w:rsidRPr="00C14D55">
        <w:rPr>
          <w:lang w:val="en-AU"/>
        </w:rPr>
        <w:t xml:space="preserve"> wellbeing. This approach attempts to avoid deficit models of health that are individualising and stigmatising. This shift can be challenging </w:t>
      </w:r>
      <w:r w:rsidR="004D48F1" w:rsidRPr="00C14D55">
        <w:rPr>
          <w:lang w:val="en-AU"/>
        </w:rPr>
        <w:t>because</w:t>
      </w:r>
      <w:r w:rsidRPr="00C14D55">
        <w:rPr>
          <w:lang w:val="en-AU"/>
        </w:rPr>
        <w:t xml:space="preserve"> risk is a key concept in</w:t>
      </w:r>
      <w:r w:rsidR="007F12CE" w:rsidRPr="00C14D55">
        <w:rPr>
          <w:lang w:val="en-AU"/>
        </w:rPr>
        <w:t xml:space="preserve"> the</w:t>
      </w:r>
      <w:r w:rsidRPr="00C14D55">
        <w:rPr>
          <w:lang w:val="en-AU"/>
        </w:rPr>
        <w:t xml:space="preserve"> study</w:t>
      </w:r>
      <w:r w:rsidR="007F12CE" w:rsidRPr="00C14D55">
        <w:rPr>
          <w:lang w:val="en-AU"/>
        </w:rPr>
        <w:t xml:space="preserve"> of</w:t>
      </w:r>
      <w:r w:rsidRPr="00C14D55">
        <w:rPr>
          <w:lang w:val="en-AU"/>
        </w:rPr>
        <w:t xml:space="preserve"> the health of </w:t>
      </w:r>
      <w:r w:rsidR="00131AC0" w:rsidRPr="00C14D55">
        <w:rPr>
          <w:lang w:val="en-AU"/>
        </w:rPr>
        <w:t>population</w:t>
      </w:r>
      <w:r w:rsidR="00131AC0">
        <w:rPr>
          <w:lang w:val="en-AU"/>
        </w:rPr>
        <w:t xml:space="preserve"> groups</w:t>
      </w:r>
      <w:r w:rsidRPr="00C14D55">
        <w:rPr>
          <w:lang w:val="en-AU"/>
        </w:rPr>
        <w:t>. Whil</w:t>
      </w:r>
      <w:r w:rsidR="000F4667" w:rsidRPr="00C14D55">
        <w:rPr>
          <w:lang w:val="en-AU"/>
        </w:rPr>
        <w:t>e</w:t>
      </w:r>
      <w:r w:rsidRPr="00C14D55">
        <w:rPr>
          <w:lang w:val="en-AU"/>
        </w:rPr>
        <w:t xml:space="preserve"> it is important to examine population health, the study of </w:t>
      </w:r>
      <w:r w:rsidR="00A13889" w:rsidRPr="00C14D55">
        <w:rPr>
          <w:lang w:val="en-AU"/>
        </w:rPr>
        <w:t>at-risk groups</w:t>
      </w:r>
      <w:r w:rsidRPr="00C14D55">
        <w:rPr>
          <w:lang w:val="en-AU"/>
        </w:rPr>
        <w:t xml:space="preserve"> </w:t>
      </w:r>
      <w:r w:rsidR="007F12CE" w:rsidRPr="00C14D55">
        <w:rPr>
          <w:lang w:val="en-AU"/>
        </w:rPr>
        <w:t xml:space="preserve">has the potential to </w:t>
      </w:r>
      <w:r w:rsidRPr="00C14D55">
        <w:rPr>
          <w:lang w:val="en-AU"/>
        </w:rPr>
        <w:t xml:space="preserve">cause harm. </w:t>
      </w:r>
      <w:r w:rsidRPr="00A708DB">
        <w:rPr>
          <w:lang w:val="en-AU"/>
        </w:rPr>
        <w:t>Ideally</w:t>
      </w:r>
      <w:r w:rsidR="007F12CE" w:rsidRPr="00A708DB">
        <w:rPr>
          <w:lang w:val="en-AU"/>
        </w:rPr>
        <w:t>,</w:t>
      </w:r>
      <w:r w:rsidRPr="00B628D1">
        <w:rPr>
          <w:lang w:val="en-AU"/>
        </w:rPr>
        <w:t xml:space="preserve"> </w:t>
      </w:r>
      <w:r w:rsidR="000061A9">
        <w:rPr>
          <w:lang w:val="en-AU"/>
        </w:rPr>
        <w:t>students</w:t>
      </w:r>
      <w:r w:rsidR="00C97C62">
        <w:rPr>
          <w:lang w:val="en-AU"/>
        </w:rPr>
        <w:t xml:space="preserve"> </w:t>
      </w:r>
      <w:r w:rsidRPr="00C97C62">
        <w:rPr>
          <w:lang w:val="en-AU"/>
        </w:rPr>
        <w:t>apply the social</w:t>
      </w:r>
      <w:r w:rsidR="00977C48" w:rsidRPr="00A708DB">
        <w:rPr>
          <w:lang w:val="en-AU"/>
        </w:rPr>
        <w:t xml:space="preserve"> and environmental</w:t>
      </w:r>
      <w:r w:rsidRPr="00A708DB">
        <w:rPr>
          <w:lang w:val="en-AU"/>
        </w:rPr>
        <w:t xml:space="preserve"> determinants</w:t>
      </w:r>
      <w:r w:rsidRPr="00C14D55">
        <w:rPr>
          <w:lang w:val="en-AU"/>
        </w:rPr>
        <w:t xml:space="preserve"> of health</w:t>
      </w:r>
      <w:r w:rsidR="000061A9">
        <w:rPr>
          <w:lang w:val="en-AU"/>
        </w:rPr>
        <w:t xml:space="preserve"> to</w:t>
      </w:r>
      <w:r w:rsidR="00646BAC" w:rsidRPr="00C14D55">
        <w:rPr>
          <w:lang w:val="en-AU"/>
        </w:rPr>
        <w:t xml:space="preserve"> </w:t>
      </w:r>
      <w:r w:rsidRPr="00C14D55">
        <w:rPr>
          <w:lang w:val="en-AU"/>
        </w:rPr>
        <w:t>understand the complex factors that contribute to ongoing health ineq</w:t>
      </w:r>
      <w:r w:rsidR="009A0D45">
        <w:rPr>
          <w:lang w:val="en-AU"/>
        </w:rPr>
        <w:t>uality</w:t>
      </w:r>
      <w:r w:rsidRPr="00C14D55">
        <w:rPr>
          <w:lang w:val="en-AU"/>
        </w:rPr>
        <w:t xml:space="preserve"> at the population level</w:t>
      </w:r>
      <w:r w:rsidR="00C97C62">
        <w:rPr>
          <w:lang w:val="en-AU"/>
        </w:rPr>
        <w:t xml:space="preserve"> </w:t>
      </w:r>
      <w:r w:rsidR="00646BAC">
        <w:rPr>
          <w:lang w:val="en-AU"/>
        </w:rPr>
        <w:t>and</w:t>
      </w:r>
      <w:r w:rsidR="00C97C62" w:rsidRPr="00C97C62">
        <w:rPr>
          <w:lang w:val="en-AU"/>
        </w:rPr>
        <w:t xml:space="preserve"> </w:t>
      </w:r>
      <w:r w:rsidR="00FC13A6">
        <w:rPr>
          <w:lang w:val="en-AU"/>
        </w:rPr>
        <w:t xml:space="preserve">to </w:t>
      </w:r>
      <w:r w:rsidR="00C97C62" w:rsidRPr="00C97C62">
        <w:rPr>
          <w:lang w:val="en-AU"/>
        </w:rPr>
        <w:t>learn about population health and at-risk groups</w:t>
      </w:r>
      <w:r w:rsidR="000061A9">
        <w:rPr>
          <w:lang w:val="en-AU"/>
        </w:rPr>
        <w:t>.</w:t>
      </w:r>
    </w:p>
    <w:p w14:paraId="2B0B1C3A" w14:textId="77777777" w:rsidR="00F923F5" w:rsidRDefault="00F923F5" w:rsidP="00422E3D">
      <w:pPr>
        <w:pStyle w:val="VCAAHeading3"/>
        <w:rPr>
          <w:lang w:val="en-AU" w:eastAsia="en-AU"/>
        </w:rPr>
      </w:pPr>
      <w:bookmarkStart w:id="65" w:name="_Toc130815885"/>
    </w:p>
    <w:p w14:paraId="41B07B98" w14:textId="6C94FF18" w:rsidR="000C751B" w:rsidRPr="00C14D55" w:rsidRDefault="00DF3DF8" w:rsidP="00422E3D">
      <w:pPr>
        <w:pStyle w:val="VCAAHeading3"/>
        <w:rPr>
          <w:lang w:val="en-AU" w:eastAsia="en-AU"/>
        </w:rPr>
      </w:pPr>
      <w:bookmarkStart w:id="66" w:name="_Toc159241251"/>
      <w:r>
        <w:rPr>
          <w:lang w:val="en-AU" w:eastAsia="en-AU"/>
        </w:rPr>
        <w:lastRenderedPageBreak/>
        <w:t>H</w:t>
      </w:r>
      <w:r w:rsidR="000C751B" w:rsidRPr="00C14D55">
        <w:rPr>
          <w:lang w:val="en-AU" w:eastAsia="en-AU"/>
        </w:rPr>
        <w:t>ealth literacy</w:t>
      </w:r>
      <w:bookmarkEnd w:id="65"/>
      <w:bookmarkEnd w:id="66"/>
      <w:r w:rsidR="000C751B" w:rsidRPr="00C14D55">
        <w:rPr>
          <w:lang w:val="en-AU" w:eastAsia="en-AU"/>
        </w:rPr>
        <w:t xml:space="preserve"> </w:t>
      </w:r>
    </w:p>
    <w:p w14:paraId="2A82608B" w14:textId="283045A2" w:rsidR="000C751B" w:rsidRPr="00C14D55" w:rsidRDefault="000C751B" w:rsidP="00422E3D">
      <w:pPr>
        <w:pStyle w:val="VCAAbody"/>
        <w:rPr>
          <w:lang w:val="en-AU" w:eastAsia="en-AU"/>
        </w:rPr>
      </w:pPr>
      <w:r w:rsidRPr="00C14D55">
        <w:rPr>
          <w:lang w:val="en-AU" w:eastAsia="en-AU"/>
        </w:rPr>
        <w:t xml:space="preserve">Health literacy relates to </w:t>
      </w:r>
      <w:r w:rsidR="00DF3DF8">
        <w:rPr>
          <w:lang w:val="en-AU" w:eastAsia="en-AU"/>
        </w:rPr>
        <w:t>the extent to which</w:t>
      </w:r>
      <w:r w:rsidRPr="00C14D55">
        <w:rPr>
          <w:lang w:val="en-AU" w:eastAsia="en-AU"/>
        </w:rPr>
        <w:t xml:space="preserve"> people </w:t>
      </w:r>
      <w:proofErr w:type="gramStart"/>
      <w:r w:rsidR="00DF3DF8">
        <w:rPr>
          <w:lang w:val="en-AU" w:eastAsia="en-AU"/>
        </w:rPr>
        <w:t>are able to</w:t>
      </w:r>
      <w:proofErr w:type="gramEnd"/>
      <w:r w:rsidR="00DF3DF8">
        <w:rPr>
          <w:lang w:val="en-AU" w:eastAsia="en-AU"/>
        </w:rPr>
        <w:t xml:space="preserve"> </w:t>
      </w:r>
      <w:r w:rsidRPr="00C14D55">
        <w:rPr>
          <w:lang w:val="en-AU" w:eastAsia="en-AU"/>
        </w:rPr>
        <w:t xml:space="preserve">access, </w:t>
      </w:r>
      <w:r w:rsidR="00CC2234" w:rsidRPr="00C14D55">
        <w:rPr>
          <w:lang w:val="en-AU" w:eastAsia="en-AU"/>
        </w:rPr>
        <w:t xml:space="preserve">critique, </w:t>
      </w:r>
      <w:r w:rsidRPr="00C14D55">
        <w:rPr>
          <w:lang w:val="en-AU" w:eastAsia="en-AU"/>
        </w:rPr>
        <w:t xml:space="preserve">understand and use health information and services in ways that promote and maintain health and wellbeing. </w:t>
      </w:r>
      <w:r w:rsidR="007B252C" w:rsidRPr="00C14D55">
        <w:rPr>
          <w:lang w:val="en-AU" w:eastAsia="en-AU"/>
        </w:rPr>
        <w:t>A h</w:t>
      </w:r>
      <w:r w:rsidRPr="00C14D55">
        <w:rPr>
          <w:lang w:val="en-AU" w:eastAsia="en-AU"/>
        </w:rPr>
        <w:t xml:space="preserve">igh level of health literacy is strongly linked to improved health outcomes. </w:t>
      </w:r>
      <w:r w:rsidR="007B252C" w:rsidRPr="00E11C3A">
        <w:rPr>
          <w:iCs/>
          <w:lang w:val="en-AU" w:eastAsia="en-AU"/>
        </w:rPr>
        <w:t xml:space="preserve">VCE </w:t>
      </w:r>
      <w:r w:rsidRPr="00E11C3A">
        <w:rPr>
          <w:iCs/>
          <w:lang w:val="en-AU" w:eastAsia="en-AU"/>
        </w:rPr>
        <w:t xml:space="preserve">Health and Human Development </w:t>
      </w:r>
      <w:r w:rsidRPr="00C14D55">
        <w:rPr>
          <w:lang w:val="en-AU" w:eastAsia="en-AU"/>
        </w:rPr>
        <w:t>focuses on developing knowledge and skills related to the following components:</w:t>
      </w:r>
    </w:p>
    <w:p w14:paraId="66BE84AB" w14:textId="11B4B09B" w:rsidR="000C751B" w:rsidRPr="00C14D55" w:rsidRDefault="000C751B" w:rsidP="00BD6117">
      <w:pPr>
        <w:pStyle w:val="VCAAbullet"/>
      </w:pPr>
      <w:r w:rsidRPr="00C14D55">
        <w:t xml:space="preserve">Individual health literacy </w:t>
      </w:r>
      <w:r w:rsidR="0068564A">
        <w:t>refers to</w:t>
      </w:r>
      <w:r w:rsidR="0068564A" w:rsidRPr="00C14D55">
        <w:t xml:space="preserve"> </w:t>
      </w:r>
      <w:r w:rsidRPr="00C14D55">
        <w:t xml:space="preserve">the skills, knowledge, </w:t>
      </w:r>
      <w:proofErr w:type="gramStart"/>
      <w:r w:rsidRPr="00C14D55">
        <w:t>motivation</w:t>
      </w:r>
      <w:proofErr w:type="gramEnd"/>
      <w:r w:rsidRPr="00C14D55">
        <w:t xml:space="preserve"> and capacity of a person to access, understand, appraise and apply information </w:t>
      </w:r>
      <w:r w:rsidR="007A127D" w:rsidRPr="00C14D55">
        <w:t>to</w:t>
      </w:r>
      <w:r w:rsidRPr="00C14D55">
        <w:t xml:space="preserve"> make effective decisions about health and health</w:t>
      </w:r>
      <w:r w:rsidR="002402C1">
        <w:t xml:space="preserve"> </w:t>
      </w:r>
      <w:r w:rsidRPr="00C14D55">
        <w:t>care</w:t>
      </w:r>
      <w:r w:rsidR="007B252C" w:rsidRPr="00C14D55">
        <w:t>,</w:t>
      </w:r>
      <w:r w:rsidRPr="00C14D55">
        <w:t xml:space="preserve"> and take appropriate action. Individual health literacy has</w:t>
      </w:r>
      <w:r w:rsidR="009A5642">
        <w:t xml:space="preserve"> 3</w:t>
      </w:r>
      <w:r w:rsidRPr="00C14D55">
        <w:t xml:space="preserve"> dimensions:</w:t>
      </w:r>
    </w:p>
    <w:p w14:paraId="35F47B99" w14:textId="256E7DD9" w:rsidR="000C751B" w:rsidRPr="00C14D55" w:rsidRDefault="0068564A" w:rsidP="00C55C33">
      <w:pPr>
        <w:pStyle w:val="VCAAtablecondensedbullet2"/>
        <w:tabs>
          <w:tab w:val="clear" w:pos="425"/>
          <w:tab w:val="left" w:pos="851"/>
        </w:tabs>
        <w:ind w:left="851"/>
        <w:rPr>
          <w:rFonts w:asciiTheme="majorHAnsi" w:hAnsiTheme="majorHAnsi" w:cstheme="majorHAnsi"/>
          <w:lang w:val="en-AU"/>
        </w:rPr>
      </w:pPr>
      <w:r>
        <w:rPr>
          <w:rFonts w:asciiTheme="majorHAnsi" w:hAnsiTheme="majorHAnsi" w:cstheme="majorHAnsi"/>
          <w:iCs/>
          <w:lang w:val="en-AU"/>
        </w:rPr>
        <w:t>T</w:t>
      </w:r>
      <w:r w:rsidRPr="001D0089">
        <w:rPr>
          <w:rFonts w:asciiTheme="majorHAnsi" w:hAnsiTheme="majorHAnsi" w:cstheme="majorHAnsi"/>
          <w:iCs/>
          <w:lang w:val="en-AU"/>
        </w:rPr>
        <w:t xml:space="preserve">he functional </w:t>
      </w:r>
      <w:r w:rsidR="000C751B" w:rsidRPr="001D0089">
        <w:rPr>
          <w:rFonts w:asciiTheme="majorHAnsi" w:hAnsiTheme="majorHAnsi" w:cstheme="majorHAnsi"/>
          <w:iCs/>
          <w:lang w:val="en-AU"/>
        </w:rPr>
        <w:t>dimension</w:t>
      </w:r>
      <w:r w:rsidR="000C751B" w:rsidRPr="00C14D55">
        <w:rPr>
          <w:rFonts w:asciiTheme="majorHAnsi" w:hAnsiTheme="majorHAnsi" w:cstheme="majorHAnsi"/>
          <w:lang w:val="en-AU"/>
        </w:rPr>
        <w:t xml:space="preserve"> refers to the basic skills to research and apply </w:t>
      </w:r>
      <w:r w:rsidR="00CC2234" w:rsidRPr="00C14D55">
        <w:rPr>
          <w:rFonts w:asciiTheme="majorHAnsi" w:hAnsiTheme="majorHAnsi" w:cstheme="majorHAnsi"/>
          <w:lang w:val="en-AU"/>
        </w:rPr>
        <w:t xml:space="preserve">health </w:t>
      </w:r>
      <w:r w:rsidR="000C751B" w:rsidRPr="00C14D55">
        <w:rPr>
          <w:rFonts w:asciiTheme="majorHAnsi" w:hAnsiTheme="majorHAnsi" w:cstheme="majorHAnsi"/>
          <w:lang w:val="en-AU"/>
        </w:rPr>
        <w:t>information</w:t>
      </w:r>
      <w:r w:rsidR="00CC2234" w:rsidRPr="00C14D55">
        <w:rPr>
          <w:rFonts w:asciiTheme="majorHAnsi" w:hAnsiTheme="majorHAnsi" w:cstheme="majorHAnsi"/>
          <w:lang w:val="en-AU"/>
        </w:rPr>
        <w:t>,</w:t>
      </w:r>
      <w:r w:rsidR="000C751B" w:rsidRPr="00C14D55">
        <w:rPr>
          <w:rFonts w:asciiTheme="majorHAnsi" w:hAnsiTheme="majorHAnsi" w:cstheme="majorHAnsi"/>
          <w:lang w:val="en-AU"/>
        </w:rPr>
        <w:t xml:space="preserve"> </w:t>
      </w:r>
      <w:r w:rsidR="00CC2234" w:rsidRPr="00C14D55">
        <w:rPr>
          <w:rFonts w:asciiTheme="majorHAnsi" w:hAnsiTheme="majorHAnsi" w:cstheme="majorHAnsi"/>
          <w:lang w:val="en-AU"/>
        </w:rPr>
        <w:t>acquire</w:t>
      </w:r>
      <w:r w:rsidR="000C751B" w:rsidRPr="00C14D55">
        <w:rPr>
          <w:rFonts w:asciiTheme="majorHAnsi" w:hAnsiTheme="majorHAnsi" w:cstheme="majorHAnsi"/>
          <w:lang w:val="en-AU"/>
        </w:rPr>
        <w:t xml:space="preserve"> </w:t>
      </w:r>
      <w:proofErr w:type="gramStart"/>
      <w:r w:rsidR="000C751B" w:rsidRPr="00C14D55">
        <w:rPr>
          <w:rFonts w:asciiTheme="majorHAnsi" w:hAnsiTheme="majorHAnsi" w:cstheme="majorHAnsi"/>
          <w:lang w:val="en-AU"/>
        </w:rPr>
        <w:t>knowledge</w:t>
      </w:r>
      <w:proofErr w:type="gramEnd"/>
      <w:r w:rsidR="000C751B" w:rsidRPr="00C14D55">
        <w:rPr>
          <w:rFonts w:asciiTheme="majorHAnsi" w:hAnsiTheme="majorHAnsi" w:cstheme="majorHAnsi"/>
          <w:lang w:val="en-AU"/>
        </w:rPr>
        <w:t xml:space="preserve"> and</w:t>
      </w:r>
      <w:r w:rsidR="00CC2234" w:rsidRPr="00C14D55">
        <w:rPr>
          <w:rFonts w:asciiTheme="majorHAnsi" w:hAnsiTheme="majorHAnsi" w:cstheme="majorHAnsi"/>
          <w:lang w:val="en-AU"/>
        </w:rPr>
        <w:t xml:space="preserve"> utilise health</w:t>
      </w:r>
      <w:r w:rsidR="000C751B" w:rsidRPr="00C14D55">
        <w:rPr>
          <w:rFonts w:asciiTheme="majorHAnsi" w:hAnsiTheme="majorHAnsi" w:cstheme="majorHAnsi"/>
          <w:lang w:val="en-AU"/>
        </w:rPr>
        <w:t xml:space="preserve"> services </w:t>
      </w:r>
      <w:r w:rsidR="007A127D" w:rsidRPr="00C14D55">
        <w:rPr>
          <w:rFonts w:asciiTheme="majorHAnsi" w:hAnsiTheme="majorHAnsi" w:cstheme="majorHAnsi"/>
          <w:lang w:val="en-AU"/>
        </w:rPr>
        <w:t>to</w:t>
      </w:r>
      <w:r w:rsidR="000C751B" w:rsidRPr="00C14D55">
        <w:rPr>
          <w:rFonts w:asciiTheme="majorHAnsi" w:hAnsiTheme="majorHAnsi" w:cstheme="majorHAnsi"/>
          <w:lang w:val="en-AU"/>
        </w:rPr>
        <w:t xml:space="preserve"> respond to a health-related question.</w:t>
      </w:r>
    </w:p>
    <w:p w14:paraId="7F367080" w14:textId="6E0CA42E" w:rsidR="000C751B" w:rsidRPr="00C14D55" w:rsidRDefault="0068564A" w:rsidP="00422E3D">
      <w:pPr>
        <w:pStyle w:val="VCAAtablecondensedbullet2"/>
        <w:rPr>
          <w:rFonts w:asciiTheme="majorHAnsi" w:hAnsiTheme="majorHAnsi" w:cstheme="majorHAnsi"/>
          <w:lang w:val="en-AU"/>
        </w:rPr>
      </w:pPr>
      <w:r w:rsidRPr="001D0089">
        <w:rPr>
          <w:rFonts w:asciiTheme="majorHAnsi" w:hAnsiTheme="majorHAnsi" w:cstheme="majorHAnsi"/>
          <w:iCs/>
          <w:lang w:val="en-AU"/>
        </w:rPr>
        <w:t xml:space="preserve">The </w:t>
      </w:r>
      <w:r>
        <w:rPr>
          <w:rFonts w:asciiTheme="majorHAnsi" w:hAnsiTheme="majorHAnsi" w:cstheme="majorHAnsi"/>
          <w:iCs/>
          <w:lang w:val="en-AU"/>
        </w:rPr>
        <w:t>i</w:t>
      </w:r>
      <w:r w:rsidRPr="001D0089">
        <w:rPr>
          <w:rFonts w:asciiTheme="majorHAnsi" w:hAnsiTheme="majorHAnsi" w:cstheme="majorHAnsi"/>
          <w:iCs/>
          <w:lang w:val="en-AU"/>
        </w:rPr>
        <w:t xml:space="preserve">nteractive </w:t>
      </w:r>
      <w:r w:rsidR="000C751B" w:rsidRPr="001D0089">
        <w:rPr>
          <w:rFonts w:asciiTheme="majorHAnsi" w:hAnsiTheme="majorHAnsi" w:cstheme="majorHAnsi"/>
          <w:iCs/>
          <w:lang w:val="en-AU"/>
        </w:rPr>
        <w:t>dimension</w:t>
      </w:r>
      <w:r w:rsidR="000C751B" w:rsidRPr="00C14D55">
        <w:rPr>
          <w:rFonts w:asciiTheme="majorHAnsi" w:hAnsiTheme="majorHAnsi" w:cstheme="majorHAnsi"/>
          <w:lang w:val="en-AU"/>
        </w:rPr>
        <w:t xml:space="preserve"> includes more advanced knowledge, understanding and skills to </w:t>
      </w:r>
      <w:r w:rsidR="009A0D45" w:rsidRPr="00C14D55">
        <w:rPr>
          <w:rFonts w:asciiTheme="majorHAnsi" w:hAnsiTheme="majorHAnsi" w:cstheme="majorHAnsi"/>
          <w:lang w:val="en-AU"/>
        </w:rPr>
        <w:t>engage with a health issue actively and independently</w:t>
      </w:r>
      <w:r w:rsidR="007B252C" w:rsidRPr="00C14D55">
        <w:rPr>
          <w:rFonts w:asciiTheme="majorHAnsi" w:hAnsiTheme="majorHAnsi" w:cstheme="majorHAnsi"/>
          <w:lang w:val="en-AU"/>
        </w:rPr>
        <w:t>,</w:t>
      </w:r>
      <w:r w:rsidR="000C751B" w:rsidRPr="00C14D55">
        <w:rPr>
          <w:rFonts w:asciiTheme="majorHAnsi" w:hAnsiTheme="majorHAnsi" w:cstheme="majorHAnsi"/>
          <w:lang w:val="en-AU"/>
        </w:rPr>
        <w:t xml:space="preserve"> and to apply new </w:t>
      </w:r>
      <w:r w:rsidR="00CC2234" w:rsidRPr="00C14D55">
        <w:rPr>
          <w:rFonts w:asciiTheme="majorHAnsi" w:hAnsiTheme="majorHAnsi" w:cstheme="majorHAnsi"/>
          <w:lang w:val="en-AU"/>
        </w:rPr>
        <w:t xml:space="preserve">health </w:t>
      </w:r>
      <w:r w:rsidR="000C751B" w:rsidRPr="00C14D55">
        <w:rPr>
          <w:rFonts w:asciiTheme="majorHAnsi" w:hAnsiTheme="majorHAnsi" w:cstheme="majorHAnsi"/>
          <w:lang w:val="en-AU"/>
        </w:rPr>
        <w:t xml:space="preserve">information to </w:t>
      </w:r>
      <w:r w:rsidR="00CC2234" w:rsidRPr="00C14D55">
        <w:rPr>
          <w:rFonts w:asciiTheme="majorHAnsi" w:hAnsiTheme="majorHAnsi" w:cstheme="majorHAnsi"/>
          <w:lang w:val="en-AU"/>
        </w:rPr>
        <w:t xml:space="preserve">their </w:t>
      </w:r>
      <w:r w:rsidR="009A0D45" w:rsidRPr="00C14D55">
        <w:rPr>
          <w:rFonts w:asciiTheme="majorHAnsi" w:hAnsiTheme="majorHAnsi" w:cstheme="majorHAnsi"/>
          <w:lang w:val="en-AU"/>
        </w:rPr>
        <w:t>set</w:t>
      </w:r>
      <w:r w:rsidR="00CC2234" w:rsidRPr="00C14D55">
        <w:rPr>
          <w:rFonts w:asciiTheme="majorHAnsi" w:hAnsiTheme="majorHAnsi" w:cstheme="majorHAnsi"/>
          <w:lang w:val="en-AU"/>
        </w:rPr>
        <w:t xml:space="preserve"> of circumstances</w:t>
      </w:r>
      <w:r w:rsidR="000C751B" w:rsidRPr="00C14D55">
        <w:rPr>
          <w:rFonts w:asciiTheme="majorHAnsi" w:hAnsiTheme="majorHAnsi" w:cstheme="majorHAnsi"/>
          <w:lang w:val="en-AU"/>
        </w:rPr>
        <w:t>. The interactive dimension enables students to interact with information providers such as healthcare professionals</w:t>
      </w:r>
      <w:r w:rsidR="00E626E2">
        <w:rPr>
          <w:rFonts w:asciiTheme="majorHAnsi" w:hAnsiTheme="majorHAnsi" w:cstheme="majorHAnsi"/>
          <w:lang w:val="en-AU"/>
        </w:rPr>
        <w:t xml:space="preserve"> </w:t>
      </w:r>
      <w:r w:rsidR="00E626E2" w:rsidRPr="00C14D55">
        <w:rPr>
          <w:rFonts w:asciiTheme="majorHAnsi" w:hAnsiTheme="majorHAnsi" w:cstheme="majorHAnsi"/>
          <w:lang w:val="en-AU"/>
        </w:rPr>
        <w:t>with greater confidence</w:t>
      </w:r>
      <w:r w:rsidR="000C751B" w:rsidRPr="00C14D55">
        <w:rPr>
          <w:rFonts w:asciiTheme="majorHAnsi" w:hAnsiTheme="majorHAnsi" w:cstheme="majorHAnsi"/>
          <w:lang w:val="en-AU"/>
        </w:rPr>
        <w:t>.</w:t>
      </w:r>
    </w:p>
    <w:p w14:paraId="6686C91F" w14:textId="4F2E559D" w:rsidR="000C751B" w:rsidRPr="00C14D55" w:rsidRDefault="0068564A" w:rsidP="00422E3D">
      <w:pPr>
        <w:pStyle w:val="VCAAtablecondensedbullet2"/>
        <w:rPr>
          <w:rFonts w:asciiTheme="majorHAnsi" w:hAnsiTheme="majorHAnsi" w:cstheme="majorHAnsi"/>
          <w:lang w:val="en-AU"/>
        </w:rPr>
      </w:pPr>
      <w:r w:rsidRPr="001D0089">
        <w:rPr>
          <w:rFonts w:asciiTheme="majorHAnsi" w:hAnsiTheme="majorHAnsi" w:cstheme="majorHAnsi"/>
          <w:iCs/>
          <w:lang w:val="en-AU"/>
        </w:rPr>
        <w:t xml:space="preserve">The critical </w:t>
      </w:r>
      <w:r w:rsidR="000C751B" w:rsidRPr="001D0089">
        <w:rPr>
          <w:rFonts w:asciiTheme="majorHAnsi" w:hAnsiTheme="majorHAnsi" w:cstheme="majorHAnsi"/>
          <w:iCs/>
          <w:lang w:val="en-AU"/>
        </w:rPr>
        <w:t>dimension</w:t>
      </w:r>
      <w:r w:rsidR="000C751B" w:rsidRPr="00C14D55">
        <w:rPr>
          <w:rFonts w:asciiTheme="majorHAnsi" w:hAnsiTheme="majorHAnsi" w:cstheme="majorHAnsi"/>
          <w:lang w:val="en-AU"/>
        </w:rPr>
        <w:t xml:space="preserve"> is the ability to access and critically analyse health information from a variety of sources</w:t>
      </w:r>
      <w:r w:rsidR="007B252C" w:rsidRPr="00C14D55">
        <w:rPr>
          <w:rFonts w:asciiTheme="majorHAnsi" w:hAnsiTheme="majorHAnsi" w:cstheme="majorHAnsi"/>
          <w:lang w:val="en-AU"/>
        </w:rPr>
        <w:t>,</w:t>
      </w:r>
      <w:r w:rsidR="000C751B" w:rsidRPr="00C14D55">
        <w:rPr>
          <w:rFonts w:asciiTheme="majorHAnsi" w:hAnsiTheme="majorHAnsi" w:cstheme="majorHAnsi"/>
          <w:lang w:val="en-AU"/>
        </w:rPr>
        <w:t xml:space="preserve"> which might include scientific information, health brochures or messages in the media,</w:t>
      </w:r>
      <w:r>
        <w:rPr>
          <w:rFonts w:asciiTheme="majorHAnsi" w:hAnsiTheme="majorHAnsi" w:cstheme="majorHAnsi"/>
          <w:lang w:val="en-AU"/>
        </w:rPr>
        <w:t xml:space="preserve"> </w:t>
      </w:r>
      <w:proofErr w:type="gramStart"/>
      <w:r>
        <w:rPr>
          <w:rFonts w:asciiTheme="majorHAnsi" w:hAnsiTheme="majorHAnsi" w:cstheme="majorHAnsi"/>
          <w:lang w:val="en-AU"/>
        </w:rPr>
        <w:t>in order</w:t>
      </w:r>
      <w:r w:rsidR="000C751B" w:rsidRPr="00C14D55">
        <w:rPr>
          <w:rFonts w:asciiTheme="majorHAnsi" w:hAnsiTheme="majorHAnsi" w:cstheme="majorHAnsi"/>
          <w:lang w:val="en-AU"/>
        </w:rPr>
        <w:t xml:space="preserve"> </w:t>
      </w:r>
      <w:r w:rsidR="007A127D" w:rsidRPr="00C14D55">
        <w:rPr>
          <w:rFonts w:asciiTheme="majorHAnsi" w:hAnsiTheme="majorHAnsi" w:cstheme="majorHAnsi"/>
          <w:lang w:val="en-AU"/>
        </w:rPr>
        <w:t>to</w:t>
      </w:r>
      <w:proofErr w:type="gramEnd"/>
      <w:r w:rsidR="000C751B" w:rsidRPr="00C14D55">
        <w:rPr>
          <w:rFonts w:asciiTheme="majorHAnsi" w:hAnsiTheme="majorHAnsi" w:cstheme="majorHAnsi"/>
          <w:lang w:val="en-AU"/>
        </w:rPr>
        <w:t xml:space="preserve"> take action to promote personal health and wellbeing or that of others. The critical dimension enables students to </w:t>
      </w:r>
      <w:r w:rsidR="00CC2234" w:rsidRPr="00C14D55">
        <w:rPr>
          <w:rFonts w:asciiTheme="majorHAnsi" w:hAnsiTheme="majorHAnsi" w:cstheme="majorHAnsi"/>
          <w:lang w:val="en-AU"/>
        </w:rPr>
        <w:t xml:space="preserve">evaluate the validity of health </w:t>
      </w:r>
      <w:r w:rsidR="000C751B" w:rsidRPr="00C14D55">
        <w:rPr>
          <w:rFonts w:asciiTheme="majorHAnsi" w:hAnsiTheme="majorHAnsi" w:cstheme="majorHAnsi"/>
          <w:lang w:val="en-AU"/>
        </w:rPr>
        <w:t xml:space="preserve">information </w:t>
      </w:r>
      <w:r w:rsidR="00CC2234" w:rsidRPr="00C14D55">
        <w:rPr>
          <w:rFonts w:asciiTheme="majorHAnsi" w:hAnsiTheme="majorHAnsi" w:cstheme="majorHAnsi"/>
          <w:lang w:val="en-AU"/>
        </w:rPr>
        <w:t xml:space="preserve">from a variety of sources to </w:t>
      </w:r>
      <w:r w:rsidR="000C751B" w:rsidRPr="00C14D55">
        <w:rPr>
          <w:rFonts w:asciiTheme="majorHAnsi" w:hAnsiTheme="majorHAnsi" w:cstheme="majorHAnsi"/>
          <w:lang w:val="en-AU"/>
        </w:rPr>
        <w:t>exert greater control over life events and situations.</w:t>
      </w:r>
    </w:p>
    <w:p w14:paraId="5BDE9662" w14:textId="6F18AE6A" w:rsidR="000C751B" w:rsidRPr="00C14D55" w:rsidRDefault="0068564A" w:rsidP="00BD6117">
      <w:pPr>
        <w:pStyle w:val="VCAAbullet"/>
      </w:pPr>
      <w:r>
        <w:t>The h</w:t>
      </w:r>
      <w:r w:rsidRPr="00C14D55">
        <w:t xml:space="preserve">ealth </w:t>
      </w:r>
      <w:r w:rsidR="000C751B" w:rsidRPr="00C14D55">
        <w:t xml:space="preserve">literacy environment </w:t>
      </w:r>
      <w:r>
        <w:t>refers to</w:t>
      </w:r>
      <w:r w:rsidRPr="00C14D55">
        <w:t xml:space="preserve"> </w:t>
      </w:r>
      <w:r w:rsidR="000C751B" w:rsidRPr="00C14D55">
        <w:t xml:space="preserve">the infrastructure, policies, processes, materials, </w:t>
      </w:r>
      <w:proofErr w:type="gramStart"/>
      <w:r w:rsidR="000C751B" w:rsidRPr="00C14D55">
        <w:t>people</w:t>
      </w:r>
      <w:proofErr w:type="gramEnd"/>
      <w:r w:rsidR="000C751B" w:rsidRPr="00C14D55">
        <w:t xml:space="preserve"> and relationships that make up the health system and have an impact on the way people access, understand, appraise and apply health-related information and services.</w:t>
      </w:r>
    </w:p>
    <w:p w14:paraId="6B94649B" w14:textId="327E0CAA" w:rsidR="000C751B" w:rsidRPr="00C14D55" w:rsidRDefault="000C751B" w:rsidP="00422E3D">
      <w:pPr>
        <w:pStyle w:val="VCAAbody"/>
        <w:rPr>
          <w:lang w:val="en-AU" w:eastAsia="en-AU"/>
        </w:rPr>
      </w:pPr>
      <w:r w:rsidRPr="00C14D55">
        <w:rPr>
          <w:lang w:val="en-AU"/>
        </w:rPr>
        <w:t xml:space="preserve">An individual’s health literacy is impacted by the health literacy environment. </w:t>
      </w:r>
      <w:r w:rsidRPr="00C14D55">
        <w:rPr>
          <w:lang w:val="en-AU" w:eastAsia="en-AU"/>
        </w:rPr>
        <w:t xml:space="preserve">Through studying VCE Health and Human Development, </w:t>
      </w:r>
      <w:r w:rsidRPr="00A708DB">
        <w:rPr>
          <w:lang w:val="en-AU" w:eastAsia="en-AU"/>
        </w:rPr>
        <w:t>students</w:t>
      </w:r>
      <w:r w:rsidR="00F54A84">
        <w:rPr>
          <w:lang w:val="en-AU" w:eastAsia="en-AU"/>
        </w:rPr>
        <w:t>’</w:t>
      </w:r>
      <w:r w:rsidRPr="00A708DB">
        <w:rPr>
          <w:lang w:val="en-AU" w:eastAsia="en-AU"/>
        </w:rPr>
        <w:t xml:space="preserve"> </w:t>
      </w:r>
      <w:r w:rsidRPr="00B628D1">
        <w:rPr>
          <w:lang w:val="en-AU" w:eastAsia="en-AU"/>
        </w:rPr>
        <w:t>individual</w:t>
      </w:r>
      <w:r w:rsidRPr="00C14D55">
        <w:rPr>
          <w:lang w:val="en-AU" w:eastAsia="en-AU"/>
        </w:rPr>
        <w:t xml:space="preserve"> health literacy </w:t>
      </w:r>
      <w:r w:rsidR="001C7842">
        <w:rPr>
          <w:lang w:val="en-AU" w:eastAsia="en-AU"/>
        </w:rPr>
        <w:t>will</w:t>
      </w:r>
      <w:r w:rsidRPr="00C14D55">
        <w:rPr>
          <w:lang w:val="en-AU" w:eastAsia="en-AU"/>
        </w:rPr>
        <w:t xml:space="preserve"> develop </w:t>
      </w:r>
      <w:r w:rsidR="001C7842">
        <w:rPr>
          <w:lang w:val="en-AU" w:eastAsia="en-AU"/>
        </w:rPr>
        <w:t xml:space="preserve">along with </w:t>
      </w:r>
      <w:r w:rsidRPr="00C14D55">
        <w:rPr>
          <w:lang w:val="en-AU" w:eastAsia="en-AU"/>
        </w:rPr>
        <w:t>the</w:t>
      </w:r>
      <w:r w:rsidR="00F54A84">
        <w:rPr>
          <w:lang w:val="en-AU" w:eastAsia="en-AU"/>
        </w:rPr>
        <w:t>ir</w:t>
      </w:r>
      <w:r w:rsidRPr="00C14D55">
        <w:rPr>
          <w:lang w:val="en-AU" w:eastAsia="en-AU"/>
        </w:rPr>
        <w:t xml:space="preserve"> capacity to critically analyse the broader health literacy environment in their local community, Australia and </w:t>
      </w:r>
      <w:r w:rsidR="001D5077" w:rsidRPr="00C14D55">
        <w:rPr>
          <w:lang w:val="en-AU" w:eastAsia="en-AU"/>
        </w:rPr>
        <w:t xml:space="preserve">on a </w:t>
      </w:r>
      <w:r w:rsidRPr="00C14D55">
        <w:rPr>
          <w:lang w:val="en-AU" w:eastAsia="en-AU"/>
        </w:rPr>
        <w:t>global</w:t>
      </w:r>
      <w:r w:rsidR="001D5077" w:rsidRPr="00C14D55">
        <w:rPr>
          <w:lang w:val="en-AU" w:eastAsia="en-AU"/>
        </w:rPr>
        <w:t xml:space="preserve"> scale</w:t>
      </w:r>
      <w:r w:rsidRPr="00C14D55">
        <w:rPr>
          <w:lang w:val="en-AU" w:eastAsia="en-AU"/>
        </w:rPr>
        <w:t>.</w:t>
      </w:r>
    </w:p>
    <w:p w14:paraId="38831E3F" w14:textId="12403819" w:rsidR="000C751B" w:rsidRPr="00C14D55" w:rsidRDefault="000C751B" w:rsidP="00422E3D">
      <w:pPr>
        <w:pStyle w:val="VCAAHeading3"/>
        <w:rPr>
          <w:lang w:val="en-AU" w:eastAsia="en-AU"/>
        </w:rPr>
      </w:pPr>
      <w:bookmarkStart w:id="67" w:name="_Toc159241252"/>
      <w:bookmarkStart w:id="68" w:name="_Toc130815886"/>
      <w:r w:rsidRPr="00C14D55">
        <w:rPr>
          <w:lang w:val="en-AU" w:eastAsia="en-AU"/>
        </w:rPr>
        <w:t>Critical inquiry</w:t>
      </w:r>
      <w:bookmarkEnd w:id="67"/>
      <w:r w:rsidRPr="00C14D55">
        <w:rPr>
          <w:lang w:val="en-AU" w:eastAsia="en-AU"/>
        </w:rPr>
        <w:t xml:space="preserve"> </w:t>
      </w:r>
      <w:bookmarkEnd w:id="68"/>
    </w:p>
    <w:p w14:paraId="192C34A0" w14:textId="3CF83388" w:rsidR="000C751B" w:rsidRPr="00C14D55" w:rsidRDefault="000C751B" w:rsidP="00422E3D">
      <w:pPr>
        <w:pStyle w:val="VCAAbody"/>
        <w:rPr>
          <w:lang w:val="en-AU" w:eastAsia="en-AU"/>
        </w:rPr>
      </w:pPr>
      <w:r w:rsidRPr="00C14D55">
        <w:rPr>
          <w:lang w:val="en-AU" w:eastAsia="en-AU"/>
        </w:rPr>
        <w:t xml:space="preserve">VCE Health and Human Development engages students in critical inquiry processes that </w:t>
      </w:r>
      <w:r w:rsidR="0085572F">
        <w:rPr>
          <w:lang w:val="en-AU" w:eastAsia="en-AU"/>
        </w:rPr>
        <w:t>develop their ability to</w:t>
      </w:r>
      <w:r w:rsidRPr="00C14D55">
        <w:rPr>
          <w:lang w:val="en-AU" w:eastAsia="en-AU"/>
        </w:rPr>
        <w:t xml:space="preserve"> research, analyse, </w:t>
      </w:r>
      <w:proofErr w:type="gramStart"/>
      <w:r w:rsidRPr="00C14D55">
        <w:rPr>
          <w:lang w:val="en-AU" w:eastAsia="en-AU"/>
        </w:rPr>
        <w:t>apply</w:t>
      </w:r>
      <w:proofErr w:type="gramEnd"/>
      <w:r w:rsidRPr="00C14D55">
        <w:rPr>
          <w:lang w:val="en-AU" w:eastAsia="en-AU"/>
        </w:rPr>
        <w:t xml:space="preserve"> and appraise knowledge. </w:t>
      </w:r>
      <w:r w:rsidR="00F224F6">
        <w:rPr>
          <w:lang w:val="en-AU" w:eastAsia="en-AU"/>
        </w:rPr>
        <w:t>T</w:t>
      </w:r>
      <w:r w:rsidR="00DC208A">
        <w:rPr>
          <w:lang w:val="en-AU" w:eastAsia="en-AU"/>
        </w:rPr>
        <w:t>his approach</w:t>
      </w:r>
      <w:r w:rsidR="00F224F6">
        <w:rPr>
          <w:lang w:val="en-AU" w:eastAsia="en-AU"/>
        </w:rPr>
        <w:t xml:space="preserve"> enables</w:t>
      </w:r>
      <w:r w:rsidR="00DC208A">
        <w:rPr>
          <w:lang w:val="en-AU" w:eastAsia="en-AU"/>
        </w:rPr>
        <w:t xml:space="preserve"> </w:t>
      </w:r>
      <w:r w:rsidR="00E2161D">
        <w:rPr>
          <w:lang w:val="en-AU" w:eastAsia="en-AU"/>
        </w:rPr>
        <w:t>them</w:t>
      </w:r>
      <w:r w:rsidR="00E2161D" w:rsidRPr="00C14D55">
        <w:rPr>
          <w:lang w:val="en-AU" w:eastAsia="en-AU"/>
        </w:rPr>
        <w:t xml:space="preserve"> </w:t>
      </w:r>
      <w:r w:rsidR="00F224F6">
        <w:rPr>
          <w:lang w:val="en-AU" w:eastAsia="en-AU"/>
        </w:rPr>
        <w:t>to</w:t>
      </w:r>
      <w:r w:rsidR="00F224F6" w:rsidRPr="00C14D55">
        <w:rPr>
          <w:lang w:val="en-AU" w:eastAsia="en-AU"/>
        </w:rPr>
        <w:t xml:space="preserve"> </w:t>
      </w:r>
      <w:r w:rsidRPr="00C14D55">
        <w:rPr>
          <w:lang w:val="en-AU" w:eastAsia="en-AU"/>
        </w:rPr>
        <w:t>critically evaluate factors that influence health and wellbeing and explore how aspects of social justice can contribute to improvements in health and wellbeing</w:t>
      </w:r>
      <w:r w:rsidR="00383B97" w:rsidRPr="00C14D55">
        <w:rPr>
          <w:lang w:val="en-AU" w:eastAsia="en-AU"/>
        </w:rPr>
        <w:t>,</w:t>
      </w:r>
      <w:r w:rsidRPr="00C14D55">
        <w:rPr>
          <w:lang w:val="en-AU" w:eastAsia="en-AU"/>
        </w:rPr>
        <w:t xml:space="preserve"> and health status.</w:t>
      </w:r>
    </w:p>
    <w:p w14:paraId="4FEB9A84" w14:textId="385BB138" w:rsidR="000C751B" w:rsidRPr="00C14D55" w:rsidRDefault="000C751B" w:rsidP="00422E3D">
      <w:pPr>
        <w:pStyle w:val="VCAAbody"/>
        <w:rPr>
          <w:lang w:val="en-AU" w:eastAsia="en-AU"/>
        </w:rPr>
      </w:pPr>
      <w:r w:rsidRPr="00C14D55">
        <w:rPr>
          <w:lang w:val="en-AU" w:eastAsia="en-AU"/>
        </w:rPr>
        <w:t xml:space="preserve">VCE Health and Human Development recognises that values, behaviours, </w:t>
      </w:r>
      <w:proofErr w:type="gramStart"/>
      <w:r w:rsidRPr="00C14D55">
        <w:rPr>
          <w:lang w:val="en-AU" w:eastAsia="en-AU"/>
        </w:rPr>
        <w:t>priorities</w:t>
      </w:r>
      <w:proofErr w:type="gramEnd"/>
      <w:r w:rsidRPr="00C14D55">
        <w:rPr>
          <w:lang w:val="en-AU" w:eastAsia="en-AU"/>
        </w:rPr>
        <w:t xml:space="preserve"> and actions related to health and wellbeing reflect varying contextual factors </w:t>
      </w:r>
      <w:r w:rsidR="00383B97" w:rsidRPr="00C14D55">
        <w:rPr>
          <w:lang w:val="en-AU" w:eastAsia="en-AU"/>
        </w:rPr>
        <w:t xml:space="preserve">that </w:t>
      </w:r>
      <w:r w:rsidRPr="00C14D55">
        <w:rPr>
          <w:lang w:val="en-AU" w:eastAsia="en-AU"/>
        </w:rPr>
        <w:t xml:space="preserve">influence the ways people live. </w:t>
      </w:r>
      <w:r w:rsidR="001B153F">
        <w:rPr>
          <w:lang w:val="en-AU" w:eastAsia="en-AU"/>
        </w:rPr>
        <w:t>Through the study design, students</w:t>
      </w:r>
      <w:r w:rsidRPr="00C14D55">
        <w:rPr>
          <w:lang w:val="en-AU" w:eastAsia="en-AU"/>
        </w:rPr>
        <w:t xml:space="preserve"> develop an understanding that the </w:t>
      </w:r>
      <w:r w:rsidR="0033391F">
        <w:rPr>
          <w:lang w:val="en-AU" w:eastAsia="en-AU"/>
        </w:rPr>
        <w:t>interpretations</w:t>
      </w:r>
      <w:r w:rsidR="0033391F" w:rsidRPr="00C14D55">
        <w:rPr>
          <w:lang w:val="en-AU" w:eastAsia="en-AU"/>
        </w:rPr>
        <w:t xml:space="preserve"> </w:t>
      </w:r>
      <w:r w:rsidRPr="00C14D55">
        <w:rPr>
          <w:lang w:val="en-AU" w:eastAsia="en-AU"/>
        </w:rPr>
        <w:t xml:space="preserve">and </w:t>
      </w:r>
      <w:r w:rsidR="007255FF" w:rsidRPr="00C14D55">
        <w:rPr>
          <w:lang w:val="en-AU" w:eastAsia="en-AU"/>
        </w:rPr>
        <w:t>interests</w:t>
      </w:r>
      <w:r w:rsidR="0033391F">
        <w:rPr>
          <w:lang w:val="en-AU" w:eastAsia="en-AU"/>
        </w:rPr>
        <w:t xml:space="preserve"> that</w:t>
      </w:r>
      <w:r w:rsidRPr="00C14D55">
        <w:rPr>
          <w:lang w:val="en-AU" w:eastAsia="en-AU"/>
        </w:rPr>
        <w:t xml:space="preserve"> individuals and social groups have in relation to health and wellbeing are diverse and therefore require different approaches and strategies.</w:t>
      </w:r>
    </w:p>
    <w:p w14:paraId="66E9C9C6" w14:textId="77777777" w:rsidR="000C751B" w:rsidRPr="00C14D55" w:rsidRDefault="000C751B" w:rsidP="000C751B">
      <w:pPr>
        <w:rPr>
          <w:rFonts w:ascii="Arial" w:hAnsi="Arial" w:cs="Arial"/>
          <w:noProof/>
          <w:sz w:val="18"/>
          <w:szCs w:val="18"/>
        </w:rPr>
      </w:pPr>
      <w:r w:rsidRPr="00C14D55">
        <w:rPr>
          <w:rFonts w:ascii="Arial" w:hAnsi="Arial" w:cs="Arial"/>
          <w:noProof/>
          <w:sz w:val="18"/>
          <w:szCs w:val="18"/>
        </w:rPr>
        <w:br w:type="page"/>
      </w:r>
    </w:p>
    <w:p w14:paraId="2AD28F7D" w14:textId="77777777" w:rsidR="003F0989" w:rsidRDefault="003F0989" w:rsidP="00422E3D">
      <w:pPr>
        <w:pStyle w:val="VCAAHeading1"/>
        <w:rPr>
          <w:lang w:val="en-AU"/>
        </w:rPr>
        <w:sectPr w:rsidR="003F0989" w:rsidSect="00AB1B78">
          <w:headerReference w:type="default" r:id="rId32"/>
          <w:footerReference w:type="default" r:id="rId33"/>
          <w:headerReference w:type="first" r:id="rId34"/>
          <w:footerReference w:type="first" r:id="rId35"/>
          <w:type w:val="continuous"/>
          <w:pgSz w:w="11907" w:h="16840" w:code="9"/>
          <w:pgMar w:top="1411" w:right="850" w:bottom="1440" w:left="1138" w:header="288" w:footer="288" w:gutter="0"/>
          <w:cols w:space="708"/>
          <w:titlePg/>
          <w:docGrid w:linePitch="360"/>
        </w:sectPr>
      </w:pPr>
      <w:bookmarkStart w:id="69" w:name="_Hlk121988286"/>
    </w:p>
    <w:p w14:paraId="31EEABBD" w14:textId="77777777" w:rsidR="000C751B" w:rsidRPr="00C14D55" w:rsidRDefault="000C751B" w:rsidP="00422E3D">
      <w:pPr>
        <w:pStyle w:val="VCAAHeading1"/>
        <w:rPr>
          <w:lang w:val="en-AU"/>
        </w:rPr>
      </w:pPr>
      <w:bookmarkStart w:id="70" w:name="_Toc159241253"/>
      <w:r w:rsidRPr="00C14D55">
        <w:rPr>
          <w:lang w:val="en-AU"/>
        </w:rPr>
        <w:lastRenderedPageBreak/>
        <w:t>Unit 1: Understanding health and wellbeing</w:t>
      </w:r>
      <w:bookmarkEnd w:id="70"/>
    </w:p>
    <w:bookmarkEnd w:id="69"/>
    <w:p w14:paraId="6C88195F" w14:textId="2CBFBDB6" w:rsidR="00286388" w:rsidRDefault="00924B89" w:rsidP="00422E3D">
      <w:pPr>
        <w:pStyle w:val="VCAAbody"/>
        <w:rPr>
          <w:lang w:val="en-AU"/>
        </w:rPr>
      </w:pPr>
      <w:r>
        <w:rPr>
          <w:lang w:val="en-AU"/>
        </w:rPr>
        <w:t>In t</w:t>
      </w:r>
      <w:r w:rsidR="000C751B" w:rsidRPr="00C14D55">
        <w:rPr>
          <w:lang w:val="en-AU"/>
        </w:rPr>
        <w:t>his unit</w:t>
      </w:r>
      <w:r>
        <w:rPr>
          <w:lang w:val="en-AU"/>
        </w:rPr>
        <w:t>, students</w:t>
      </w:r>
      <w:r w:rsidR="000C751B" w:rsidRPr="00C14D55">
        <w:rPr>
          <w:lang w:val="en-AU"/>
        </w:rPr>
        <w:t xml:space="preserve"> explore health and wellbeing as a concept with varied and evolving perspectives and definitions. </w:t>
      </w:r>
      <w:r>
        <w:rPr>
          <w:lang w:val="en-AU"/>
        </w:rPr>
        <w:t>They come to understand</w:t>
      </w:r>
      <w:r w:rsidR="000C751B" w:rsidRPr="00C14D55">
        <w:rPr>
          <w:lang w:val="en-AU"/>
        </w:rPr>
        <w:t xml:space="preserve"> that </w:t>
      </w:r>
      <w:r w:rsidR="008D30EF">
        <w:rPr>
          <w:lang w:val="en-AU"/>
        </w:rPr>
        <w:t>it occurs in</w:t>
      </w:r>
      <w:r w:rsidR="000C751B" w:rsidRPr="00C14D55">
        <w:rPr>
          <w:lang w:val="en-AU"/>
        </w:rPr>
        <w:t xml:space="preserve"> </w:t>
      </w:r>
      <w:r w:rsidR="008D30EF">
        <w:rPr>
          <w:lang w:val="en-AU"/>
        </w:rPr>
        <w:t>many</w:t>
      </w:r>
      <w:r w:rsidR="000C751B" w:rsidRPr="00C14D55">
        <w:rPr>
          <w:lang w:val="en-AU"/>
        </w:rPr>
        <w:t xml:space="preserve"> contexts </w:t>
      </w:r>
      <w:r w:rsidR="008D30EF">
        <w:rPr>
          <w:lang w:val="en-AU"/>
        </w:rPr>
        <w:t xml:space="preserve">and is subject to a wide range of </w:t>
      </w:r>
      <w:r w:rsidR="000C751B" w:rsidRPr="00C14D55">
        <w:rPr>
          <w:lang w:val="en-AU"/>
        </w:rPr>
        <w:t>interpretations, with different meanings for different people. As a foundation to the</w:t>
      </w:r>
      <w:r w:rsidR="00C1536C">
        <w:rPr>
          <w:lang w:val="en-AU"/>
        </w:rPr>
        <w:t>ir</w:t>
      </w:r>
      <w:r w:rsidR="000C751B" w:rsidRPr="00C14D55">
        <w:rPr>
          <w:lang w:val="en-AU"/>
        </w:rPr>
        <w:t xml:space="preserve"> understanding of health, students investigate the World Health </w:t>
      </w:r>
      <w:r w:rsidR="00D04D85" w:rsidRPr="00C14D55">
        <w:rPr>
          <w:lang w:val="en-AU"/>
        </w:rPr>
        <w:t>Organi</w:t>
      </w:r>
      <w:r w:rsidR="00D04D85">
        <w:rPr>
          <w:lang w:val="en-AU"/>
        </w:rPr>
        <w:t>z</w:t>
      </w:r>
      <w:r w:rsidR="00D04D85" w:rsidRPr="00C14D55">
        <w:rPr>
          <w:lang w:val="en-AU"/>
        </w:rPr>
        <w:t>ation’s</w:t>
      </w:r>
      <w:r w:rsidR="00D04D85">
        <w:rPr>
          <w:lang w:val="en-AU"/>
        </w:rPr>
        <w:t xml:space="preserve"> </w:t>
      </w:r>
      <w:r w:rsidR="007255FF">
        <w:rPr>
          <w:lang w:val="en-AU"/>
        </w:rPr>
        <w:t>(WHO)</w:t>
      </w:r>
      <w:r w:rsidR="000C751B" w:rsidRPr="00C14D55">
        <w:rPr>
          <w:lang w:val="en-AU"/>
        </w:rPr>
        <w:t xml:space="preserve"> definition</w:t>
      </w:r>
      <w:r w:rsidR="008D30EF">
        <w:rPr>
          <w:lang w:val="en-AU"/>
        </w:rPr>
        <w:t xml:space="preserve"> </w:t>
      </w:r>
      <w:r w:rsidR="000C751B" w:rsidRPr="00C14D55">
        <w:rPr>
          <w:lang w:val="en-AU"/>
        </w:rPr>
        <w:t>and other interpretations. They also explore the fundamental conditions required for health as stated by the WHO</w:t>
      </w:r>
      <w:r w:rsidR="00C1536C">
        <w:rPr>
          <w:lang w:val="en-AU"/>
        </w:rPr>
        <w:t>,</w:t>
      </w:r>
      <w:r w:rsidR="000C751B" w:rsidRPr="00C14D55">
        <w:rPr>
          <w:lang w:val="en-AU"/>
        </w:rPr>
        <w:t xml:space="preserve"> </w:t>
      </w:r>
      <w:r w:rsidR="008D30EF">
        <w:rPr>
          <w:lang w:val="en-AU"/>
        </w:rPr>
        <w:t>which provide</w:t>
      </w:r>
      <w:r w:rsidR="000C751B" w:rsidRPr="00C14D55">
        <w:rPr>
          <w:lang w:val="en-AU"/>
        </w:rPr>
        <w:t xml:space="preserve"> a social justice </w:t>
      </w:r>
      <w:r w:rsidR="007350F0">
        <w:rPr>
          <w:lang w:val="en-AU"/>
        </w:rPr>
        <w:t>lens for</w:t>
      </w:r>
      <w:r w:rsidR="000C751B" w:rsidRPr="00C14D55">
        <w:rPr>
          <w:lang w:val="en-AU"/>
        </w:rPr>
        <w:t xml:space="preserve"> explor</w:t>
      </w:r>
      <w:r w:rsidR="007350F0">
        <w:rPr>
          <w:lang w:val="en-AU"/>
        </w:rPr>
        <w:t>ing</w:t>
      </w:r>
      <w:r w:rsidR="000C751B" w:rsidRPr="00C14D55">
        <w:rPr>
          <w:lang w:val="en-AU"/>
        </w:rPr>
        <w:t xml:space="preserve"> health inequities. </w:t>
      </w:r>
    </w:p>
    <w:p w14:paraId="1193F272" w14:textId="56C01C4F" w:rsidR="000C751B" w:rsidRPr="00C14D55" w:rsidRDefault="000C751B" w:rsidP="00422E3D">
      <w:pPr>
        <w:pStyle w:val="VCAAbody"/>
        <w:rPr>
          <w:lang w:val="en-AU"/>
        </w:rPr>
      </w:pPr>
      <w:r w:rsidRPr="00C14D55">
        <w:rPr>
          <w:lang w:val="en-AU"/>
        </w:rPr>
        <w:t>In this unit</w:t>
      </w:r>
      <w:r w:rsidR="00E445B7">
        <w:rPr>
          <w:lang w:val="en-AU"/>
        </w:rPr>
        <w:t>,</w:t>
      </w:r>
      <w:r w:rsidRPr="00C14D55">
        <w:rPr>
          <w:lang w:val="en-AU"/>
        </w:rPr>
        <w:t xml:space="preserve"> students identify perspectives relating to health and wellbeing, and </w:t>
      </w:r>
      <w:r w:rsidR="00A7657D">
        <w:rPr>
          <w:lang w:val="en-AU"/>
        </w:rPr>
        <w:t>i</w:t>
      </w:r>
      <w:r w:rsidRPr="00C14D55">
        <w:rPr>
          <w:lang w:val="en-AU"/>
        </w:rPr>
        <w:t xml:space="preserve">nquire into factors that influence health attitudes, </w:t>
      </w:r>
      <w:proofErr w:type="gramStart"/>
      <w:r w:rsidRPr="00C14D55">
        <w:rPr>
          <w:lang w:val="en-AU"/>
        </w:rPr>
        <w:t>beliefs</w:t>
      </w:r>
      <w:proofErr w:type="gramEnd"/>
      <w:r w:rsidRPr="00C14D55">
        <w:rPr>
          <w:lang w:val="en-AU"/>
        </w:rPr>
        <w:t xml:space="preserve"> and practices, including among Aboriginal and Torres Strait Island</w:t>
      </w:r>
      <w:r w:rsidR="005F479C" w:rsidRPr="00C14D55">
        <w:rPr>
          <w:lang w:val="en-AU"/>
        </w:rPr>
        <w:t>er</w:t>
      </w:r>
      <w:r w:rsidRPr="00C14D55">
        <w:rPr>
          <w:lang w:val="en-AU"/>
        </w:rPr>
        <w:t xml:space="preserve"> </w:t>
      </w:r>
      <w:r w:rsidR="009A5642">
        <w:rPr>
          <w:lang w:val="en-AU"/>
        </w:rPr>
        <w:t>P</w:t>
      </w:r>
      <w:r w:rsidR="009A5642" w:rsidRPr="00C14D55">
        <w:rPr>
          <w:lang w:val="en-AU"/>
        </w:rPr>
        <w:t>eoples</w:t>
      </w:r>
      <w:r w:rsidRPr="00C14D55">
        <w:rPr>
          <w:lang w:val="en-AU"/>
        </w:rPr>
        <w:t xml:space="preserve">. Students look at multiple dimensions of health and wellbeing, the complex interplay of influences on </w:t>
      </w:r>
      <w:r w:rsidR="00977C48">
        <w:rPr>
          <w:lang w:val="en-AU"/>
        </w:rPr>
        <w:t>health</w:t>
      </w:r>
      <w:r w:rsidRPr="00C14D55">
        <w:rPr>
          <w:lang w:val="en-AU"/>
        </w:rPr>
        <w:t xml:space="preserve"> </w:t>
      </w:r>
      <w:r w:rsidR="008C28B1">
        <w:rPr>
          <w:lang w:val="en-AU"/>
        </w:rPr>
        <w:t xml:space="preserve">outcomes </w:t>
      </w:r>
      <w:r w:rsidRPr="00C14D55">
        <w:rPr>
          <w:lang w:val="en-AU"/>
        </w:rPr>
        <w:t xml:space="preserve">and the indicators used to measure and evaluate health status. With a </w:t>
      </w:r>
      <w:r w:rsidRPr="00B628D1">
        <w:rPr>
          <w:lang w:val="en-AU"/>
        </w:rPr>
        <w:t>foc</w:t>
      </w:r>
      <w:r w:rsidRPr="006879F3">
        <w:rPr>
          <w:lang w:val="en-AU"/>
        </w:rPr>
        <w:t>us on youth,</w:t>
      </w:r>
      <w:r w:rsidR="0033391F">
        <w:rPr>
          <w:lang w:val="en-AU"/>
        </w:rPr>
        <w:t xml:space="preserve"> the unit equips</w:t>
      </w:r>
      <w:r w:rsidRPr="006879F3">
        <w:rPr>
          <w:lang w:val="en-AU"/>
        </w:rPr>
        <w:t xml:space="preserve"> students </w:t>
      </w:r>
      <w:r w:rsidR="006B0FD9">
        <w:rPr>
          <w:lang w:val="en-AU"/>
        </w:rPr>
        <w:t xml:space="preserve">to </w:t>
      </w:r>
      <w:r w:rsidRPr="006879F3">
        <w:rPr>
          <w:lang w:val="en-AU"/>
        </w:rPr>
        <w:t>consider their own health as individuals and as a cohort. They build health literacy</w:t>
      </w:r>
      <w:r w:rsidR="00A81B96">
        <w:rPr>
          <w:lang w:val="en-AU"/>
        </w:rPr>
        <w:t xml:space="preserve"> by </w:t>
      </w:r>
      <w:r w:rsidRPr="00B628D1">
        <w:rPr>
          <w:lang w:val="en-AU"/>
        </w:rPr>
        <w:t>interpreting and using data</w:t>
      </w:r>
      <w:r w:rsidRPr="004B431C">
        <w:rPr>
          <w:lang w:val="en-AU"/>
        </w:rPr>
        <w:t xml:space="preserve"> </w:t>
      </w:r>
      <w:r w:rsidR="00A81B96">
        <w:rPr>
          <w:lang w:val="en-AU"/>
        </w:rPr>
        <w:t xml:space="preserve">in </w:t>
      </w:r>
      <w:r w:rsidR="00F412CF">
        <w:rPr>
          <w:lang w:val="en-AU"/>
        </w:rPr>
        <w:t>a research investigation</w:t>
      </w:r>
      <w:r w:rsidR="007255FF" w:rsidRPr="00F412CF">
        <w:rPr>
          <w:lang w:val="en-AU"/>
        </w:rPr>
        <w:t xml:space="preserve"> </w:t>
      </w:r>
      <w:r w:rsidR="007255FF" w:rsidRPr="005B3F85">
        <w:rPr>
          <w:lang w:val="en-AU"/>
        </w:rPr>
        <w:t>into one youth health focus area</w:t>
      </w:r>
      <w:r w:rsidR="00A81B96">
        <w:rPr>
          <w:lang w:val="en-AU"/>
        </w:rPr>
        <w:t>,</w:t>
      </w:r>
      <w:r w:rsidRPr="001F405C">
        <w:rPr>
          <w:lang w:val="en-AU"/>
        </w:rPr>
        <w:t xml:space="preserve"> </w:t>
      </w:r>
      <w:r w:rsidR="007255FF" w:rsidRPr="00A708DB">
        <w:rPr>
          <w:lang w:val="en-AU"/>
        </w:rPr>
        <w:t xml:space="preserve">and </w:t>
      </w:r>
      <w:r w:rsidR="00A81B96">
        <w:rPr>
          <w:lang w:val="en-AU"/>
        </w:rPr>
        <w:t>by</w:t>
      </w:r>
      <w:r w:rsidR="00A81B96" w:rsidRPr="00A708DB">
        <w:rPr>
          <w:lang w:val="en-AU"/>
        </w:rPr>
        <w:t xml:space="preserve"> </w:t>
      </w:r>
      <w:r w:rsidRPr="00A708DB">
        <w:rPr>
          <w:lang w:val="en-AU"/>
        </w:rPr>
        <w:t>investigating the role of food.</w:t>
      </w:r>
      <w:r w:rsidRPr="00C14D55">
        <w:rPr>
          <w:lang w:val="en-AU"/>
        </w:rPr>
        <w:t xml:space="preserve"> </w:t>
      </w:r>
    </w:p>
    <w:p w14:paraId="73C8B2AA" w14:textId="77777777" w:rsidR="000C751B" w:rsidRPr="00C14D55" w:rsidRDefault="000C751B" w:rsidP="00422E3D">
      <w:pPr>
        <w:pStyle w:val="VCAAHeading2"/>
        <w:rPr>
          <w:lang w:val="en-AU"/>
        </w:rPr>
      </w:pPr>
      <w:bookmarkStart w:id="71" w:name="_Toc159241254"/>
      <w:r w:rsidRPr="00C14D55">
        <w:rPr>
          <w:lang w:val="en-AU"/>
        </w:rPr>
        <w:t>Area of Study 1</w:t>
      </w:r>
      <w:bookmarkEnd w:id="71"/>
    </w:p>
    <w:p w14:paraId="757B06E3" w14:textId="77777777" w:rsidR="000C751B" w:rsidRPr="00C14D55" w:rsidRDefault="000C751B" w:rsidP="00422E3D">
      <w:pPr>
        <w:pStyle w:val="VCAAHeading3"/>
        <w:rPr>
          <w:lang w:val="en-AU"/>
        </w:rPr>
      </w:pPr>
      <w:bookmarkStart w:id="72" w:name="_Toc130815889"/>
      <w:bookmarkStart w:id="73" w:name="_Toc159241255"/>
      <w:r w:rsidRPr="00C14D55">
        <w:rPr>
          <w:lang w:val="en-AU"/>
        </w:rPr>
        <w:t>Concepts of health</w:t>
      </w:r>
      <w:bookmarkEnd w:id="72"/>
      <w:bookmarkEnd w:id="73"/>
    </w:p>
    <w:p w14:paraId="0BC4184C" w14:textId="3D8E85CA" w:rsidR="000C751B" w:rsidRPr="00C14D55" w:rsidRDefault="00924B89" w:rsidP="00CD4903">
      <w:pPr>
        <w:pStyle w:val="VCAAbody"/>
        <w:ind w:right="280"/>
        <w:rPr>
          <w:lang w:val="en-AU"/>
        </w:rPr>
      </w:pPr>
      <w:r>
        <w:rPr>
          <w:lang w:val="en-AU"/>
        </w:rPr>
        <w:t>In t</w:t>
      </w:r>
      <w:r w:rsidR="000C751B" w:rsidRPr="00C14D55">
        <w:rPr>
          <w:lang w:val="en-AU"/>
        </w:rPr>
        <w:t>his area of study</w:t>
      </w:r>
      <w:r>
        <w:rPr>
          <w:lang w:val="en-AU"/>
        </w:rPr>
        <w:t>, students</w:t>
      </w:r>
      <w:r w:rsidR="000C751B" w:rsidRPr="00C14D55">
        <w:rPr>
          <w:lang w:val="en-AU"/>
        </w:rPr>
        <w:t xml:space="preserve"> take a broad, multidimensional approach to health and wellbeing. Such an approach acknowledges that defining and measuring </w:t>
      </w:r>
      <w:r w:rsidR="00A81B96">
        <w:rPr>
          <w:lang w:val="en-AU"/>
        </w:rPr>
        <w:t xml:space="preserve">concepts of </w:t>
      </w:r>
      <w:r w:rsidR="000C751B" w:rsidRPr="00C14D55">
        <w:rPr>
          <w:lang w:val="en-AU"/>
        </w:rPr>
        <w:t>health</w:t>
      </w:r>
      <w:r w:rsidR="00A81B96">
        <w:rPr>
          <w:lang w:val="en-AU"/>
        </w:rPr>
        <w:t xml:space="preserve"> </w:t>
      </w:r>
      <w:r w:rsidR="002E5D29">
        <w:rPr>
          <w:lang w:val="en-AU"/>
        </w:rPr>
        <w:t>are</w:t>
      </w:r>
      <w:r w:rsidR="002E5D29" w:rsidRPr="00C14D55">
        <w:rPr>
          <w:lang w:val="en-AU"/>
        </w:rPr>
        <w:t xml:space="preserve"> </w:t>
      </w:r>
      <w:r w:rsidR="000C751B" w:rsidRPr="00C14D55">
        <w:rPr>
          <w:lang w:val="en-AU"/>
        </w:rPr>
        <w:t xml:space="preserve">complicated by a diversity of social and cultural contexts. Students consider the measurable indicators of population health and look at data reflecting the health status of young Australians. </w:t>
      </w:r>
      <w:r w:rsidR="007350F0">
        <w:rPr>
          <w:lang w:val="en-AU"/>
        </w:rPr>
        <w:t>Focusing</w:t>
      </w:r>
      <w:r w:rsidR="000C751B" w:rsidRPr="00C14D55">
        <w:rPr>
          <w:lang w:val="en-AU"/>
        </w:rPr>
        <w:t xml:space="preserve"> on youth, students </w:t>
      </w:r>
      <w:r w:rsidR="00A7657D">
        <w:rPr>
          <w:lang w:val="en-AU"/>
        </w:rPr>
        <w:t>i</w:t>
      </w:r>
      <w:r w:rsidR="000C751B" w:rsidRPr="00C14D55">
        <w:rPr>
          <w:lang w:val="en-AU"/>
        </w:rPr>
        <w:t xml:space="preserve">nquire into </w:t>
      </w:r>
      <w:r w:rsidR="007350F0">
        <w:rPr>
          <w:lang w:val="en-AU"/>
        </w:rPr>
        <w:t xml:space="preserve">the </w:t>
      </w:r>
      <w:r w:rsidR="000C751B" w:rsidRPr="00C14D55">
        <w:rPr>
          <w:lang w:val="en-AU"/>
        </w:rPr>
        <w:t xml:space="preserve">reasons for variations and inequalities in health status, including </w:t>
      </w:r>
      <w:r w:rsidR="007350F0">
        <w:rPr>
          <w:lang w:val="en-AU"/>
        </w:rPr>
        <w:t xml:space="preserve">the </w:t>
      </w:r>
      <w:r w:rsidR="000C751B" w:rsidRPr="00C14D55">
        <w:rPr>
          <w:lang w:val="en-AU"/>
        </w:rPr>
        <w:t>sociocultural factors that contribute to variations in health outcomes.</w:t>
      </w:r>
    </w:p>
    <w:p w14:paraId="7CE4C963" w14:textId="77777777" w:rsidR="000C751B" w:rsidRPr="00C14D55" w:rsidRDefault="000C751B" w:rsidP="00422E3D">
      <w:pPr>
        <w:pStyle w:val="VCAAHeading3"/>
        <w:rPr>
          <w:lang w:val="en-AU" w:eastAsia="en-AU"/>
        </w:rPr>
      </w:pPr>
      <w:bookmarkStart w:id="74" w:name="_Toc130815890"/>
      <w:bookmarkStart w:id="75" w:name="_Toc159241256"/>
      <w:r w:rsidRPr="00C14D55">
        <w:rPr>
          <w:lang w:val="en-AU" w:eastAsia="en-AU"/>
        </w:rPr>
        <w:t>Outcome 1</w:t>
      </w:r>
      <w:bookmarkEnd w:id="74"/>
      <w:bookmarkEnd w:id="75"/>
    </w:p>
    <w:p w14:paraId="700EDA7D" w14:textId="35AD6B09" w:rsidR="000C751B" w:rsidRPr="00C14D55" w:rsidRDefault="000C751B" w:rsidP="00422E3D">
      <w:pPr>
        <w:pStyle w:val="VCAAbody"/>
        <w:rPr>
          <w:lang w:val="en-AU"/>
        </w:rPr>
      </w:pPr>
      <w:r w:rsidRPr="00C14D55">
        <w:rPr>
          <w:lang w:val="en-AU"/>
        </w:rPr>
        <w:t>On completion of this unit</w:t>
      </w:r>
      <w:r w:rsidR="00814C8A">
        <w:rPr>
          <w:lang w:val="en-AU"/>
        </w:rPr>
        <w:t>,</w:t>
      </w:r>
      <w:r w:rsidRPr="00C14D55">
        <w:rPr>
          <w:lang w:val="en-AU"/>
        </w:rPr>
        <w:t xml:space="preserve"> the student should be able to explain multiple dimensions of health and wellbeing, explain indicators used to measure health status and analyse</w:t>
      </w:r>
      <w:r w:rsidR="00F412CF" w:rsidRPr="006A4C4D">
        <w:rPr>
          <w:color w:val="auto"/>
          <w:lang w:val="en-AU"/>
        </w:rPr>
        <w:t xml:space="preserve"> sociocultural</w:t>
      </w:r>
      <w:r w:rsidRPr="006A4C4D">
        <w:rPr>
          <w:color w:val="auto"/>
          <w:lang w:val="en-AU"/>
        </w:rPr>
        <w:t xml:space="preserve"> </w:t>
      </w:r>
      <w:r w:rsidRPr="00C14D55">
        <w:rPr>
          <w:lang w:val="en-AU"/>
        </w:rPr>
        <w:t>factors that contribute to variations in</w:t>
      </w:r>
      <w:r w:rsidR="00D13795">
        <w:rPr>
          <w:lang w:val="en-AU"/>
        </w:rPr>
        <w:t xml:space="preserve"> the</w:t>
      </w:r>
      <w:r w:rsidRPr="00C14D55">
        <w:rPr>
          <w:lang w:val="en-AU"/>
        </w:rPr>
        <w:t xml:space="preserve"> health status of youth.</w:t>
      </w:r>
    </w:p>
    <w:p w14:paraId="04E0F39C" w14:textId="030D12E4" w:rsidR="000C751B" w:rsidRPr="00C14D55" w:rsidRDefault="000C751B" w:rsidP="00742A80">
      <w:pPr>
        <w:pStyle w:val="VCAAbody"/>
        <w:ind w:right="-150"/>
        <w:rPr>
          <w:lang w:val="en-AU"/>
        </w:rPr>
      </w:pPr>
      <w:r w:rsidRPr="00C14D55">
        <w:rPr>
          <w:lang w:val="en-AU"/>
        </w:rPr>
        <w:t>To achieve this outcome</w:t>
      </w:r>
      <w:r w:rsidR="00814C8A">
        <w:rPr>
          <w:lang w:val="en-AU"/>
        </w:rPr>
        <w:t>,</w:t>
      </w:r>
      <w:r w:rsidRPr="00C14D55">
        <w:rPr>
          <w:lang w:val="en-AU"/>
        </w:rPr>
        <w:t xml:space="preserve"> the student will draw on </w:t>
      </w:r>
      <w:r w:rsidR="00AE6F59">
        <w:rPr>
          <w:lang w:val="en-AU"/>
        </w:rPr>
        <w:t xml:space="preserve">the </w:t>
      </w:r>
      <w:r w:rsidRPr="00C14D55">
        <w:rPr>
          <w:lang w:val="en-AU"/>
        </w:rPr>
        <w:t>key knowledge and key skills outlined in Area of Study 1.</w:t>
      </w:r>
    </w:p>
    <w:p w14:paraId="44EE6770" w14:textId="77777777" w:rsidR="000C751B" w:rsidRPr="00C14D55" w:rsidRDefault="000C751B" w:rsidP="00422E3D">
      <w:pPr>
        <w:pStyle w:val="VCAAHeading5"/>
        <w:rPr>
          <w:lang w:val="en-AU"/>
        </w:rPr>
      </w:pPr>
      <w:r w:rsidRPr="00C14D55">
        <w:rPr>
          <w:lang w:val="en-AU"/>
        </w:rPr>
        <w:t>Key knowledge</w:t>
      </w:r>
    </w:p>
    <w:p w14:paraId="0902FD45" w14:textId="179DD779" w:rsidR="000C751B" w:rsidRPr="00B94A94" w:rsidRDefault="000C751B" w:rsidP="00BD6117">
      <w:pPr>
        <w:pStyle w:val="VCAAbullet"/>
      </w:pPr>
      <w:r w:rsidRPr="00B94A94">
        <w:t>various definitions of health and wellbeing</w:t>
      </w:r>
      <w:r w:rsidR="003D7C3E" w:rsidRPr="00B94A94">
        <w:t>:</w:t>
      </w:r>
      <w:r w:rsidR="00D30A47" w:rsidRPr="00B94A94">
        <w:t xml:space="preserve"> </w:t>
      </w:r>
      <w:r w:rsidRPr="00B94A94">
        <w:t xml:space="preserve">physical, social, emotional, </w:t>
      </w:r>
      <w:proofErr w:type="gramStart"/>
      <w:r w:rsidRPr="00B94A94">
        <w:t>mental</w:t>
      </w:r>
      <w:proofErr w:type="gramEnd"/>
      <w:r w:rsidRPr="00B94A94">
        <w:t xml:space="preserve"> and spiritual dimensions </w:t>
      </w:r>
    </w:p>
    <w:p w14:paraId="52BB01C7" w14:textId="71A16F63" w:rsidR="000C751B" w:rsidRPr="00B94A94" w:rsidRDefault="000C751B" w:rsidP="00BD6117">
      <w:pPr>
        <w:pStyle w:val="VCAAbullet"/>
      </w:pPr>
      <w:r w:rsidRPr="00B94A94">
        <w:t xml:space="preserve">prerequisites </w:t>
      </w:r>
      <w:r w:rsidR="0096683A" w:rsidRPr="00B94A94">
        <w:t xml:space="preserve">for </w:t>
      </w:r>
      <w:r w:rsidRPr="00B94A94">
        <w:t>health</w:t>
      </w:r>
      <w:r w:rsidR="003C66BE" w:rsidRPr="00B94A94">
        <w:t>,</w:t>
      </w:r>
      <w:r w:rsidRPr="00B94A94">
        <w:t xml:space="preserve"> as determined by the WHO</w:t>
      </w:r>
      <w:r w:rsidR="003D7C3E" w:rsidRPr="00B94A94">
        <w:t xml:space="preserve">: </w:t>
      </w:r>
      <w:r w:rsidRPr="00B94A94">
        <w:t xml:space="preserve">peace, shelter, education, food, income, social justice, equity, stable ecosystem and sustainable </w:t>
      </w:r>
      <w:proofErr w:type="gramStart"/>
      <w:r w:rsidRPr="00B94A94">
        <w:t>resources</w:t>
      </w:r>
      <w:proofErr w:type="gramEnd"/>
    </w:p>
    <w:p w14:paraId="6B401498" w14:textId="695191B5" w:rsidR="000C751B" w:rsidRPr="00B94A94" w:rsidRDefault="009F5ABF" w:rsidP="00BD6117">
      <w:pPr>
        <w:pStyle w:val="VCAAbullet"/>
      </w:pPr>
      <w:r w:rsidRPr="00B94A94">
        <w:t xml:space="preserve">youth </w:t>
      </w:r>
      <w:r w:rsidR="00544D03" w:rsidRPr="00B94A94">
        <w:t xml:space="preserve">and </w:t>
      </w:r>
      <w:r w:rsidR="000C751B" w:rsidRPr="00B94A94">
        <w:t>Aboriginal and Torres Strait Island</w:t>
      </w:r>
      <w:r w:rsidR="005F479C" w:rsidRPr="00B94A94">
        <w:t>er</w:t>
      </w:r>
      <w:r w:rsidR="000C751B" w:rsidRPr="00B94A94">
        <w:t xml:space="preserve"> perspectives on health and wellbeing </w:t>
      </w:r>
    </w:p>
    <w:p w14:paraId="1462FB3D" w14:textId="7792B43A" w:rsidR="000C751B" w:rsidRPr="00B94A94" w:rsidRDefault="000C751B" w:rsidP="00BD6117">
      <w:pPr>
        <w:pStyle w:val="VCAAbullet"/>
      </w:pPr>
      <w:r w:rsidRPr="00B94A94">
        <w:t>indicators used to measure health status, such as incidence and prevalence</w:t>
      </w:r>
      <w:r w:rsidR="006A4C4D">
        <w:t xml:space="preserve"> of health conditions,</w:t>
      </w:r>
      <w:r w:rsidRPr="00B94A94">
        <w:t xml:space="preserve"> morbidity, rates of hospitalisation, burden of disease, mortality, life expectancy, core activity limitation, psychological distress and self-assessed health </w:t>
      </w:r>
      <w:proofErr w:type="gramStart"/>
      <w:r w:rsidRPr="00B94A94">
        <w:t>status</w:t>
      </w:r>
      <w:proofErr w:type="gramEnd"/>
    </w:p>
    <w:p w14:paraId="344D1BEB" w14:textId="77777777" w:rsidR="000C751B" w:rsidRPr="00B94A94" w:rsidRDefault="000C751B" w:rsidP="00BD6117">
      <w:pPr>
        <w:pStyle w:val="VCAAbullet"/>
      </w:pPr>
      <w:r w:rsidRPr="00B94A94">
        <w:t>the health status of Australia’s youth</w:t>
      </w:r>
    </w:p>
    <w:p w14:paraId="0D34C829" w14:textId="6446F6CD" w:rsidR="00422E3D" w:rsidRPr="00B94A94" w:rsidRDefault="000C751B" w:rsidP="00BD6117">
      <w:pPr>
        <w:pStyle w:val="VCAAbullet"/>
      </w:pPr>
      <w:r w:rsidRPr="00B94A94">
        <w:t>sociocultural factors that contribute to variations in health outcomes for youth</w:t>
      </w:r>
      <w:r w:rsidR="005F479C" w:rsidRPr="00B94A94">
        <w:t>,</w:t>
      </w:r>
      <w:r w:rsidRPr="00B94A94">
        <w:t xml:space="preserve"> such as peer group, family, education, </w:t>
      </w:r>
      <w:proofErr w:type="gramStart"/>
      <w:r w:rsidRPr="00B94A94">
        <w:t>income</w:t>
      </w:r>
      <w:proofErr w:type="gramEnd"/>
      <w:r w:rsidRPr="00B94A94">
        <w:t xml:space="preserve"> and health literacy</w:t>
      </w:r>
      <w:r w:rsidR="006F37C4" w:rsidRPr="00B94A94">
        <w:t>.</w:t>
      </w:r>
    </w:p>
    <w:p w14:paraId="3C830B1F" w14:textId="7D62DE7B" w:rsidR="003F0989" w:rsidRPr="003F0989" w:rsidRDefault="003F0989"/>
    <w:p w14:paraId="3CEF92CE" w14:textId="77777777" w:rsidR="000C751B" w:rsidRPr="00B94A94" w:rsidRDefault="000C751B" w:rsidP="00422E3D">
      <w:pPr>
        <w:pStyle w:val="VCAAHeading5"/>
        <w:rPr>
          <w:lang w:val="en-AU"/>
        </w:rPr>
      </w:pPr>
      <w:r w:rsidRPr="00B94A94">
        <w:rPr>
          <w:lang w:val="en-AU"/>
        </w:rPr>
        <w:lastRenderedPageBreak/>
        <w:t>Key skills</w:t>
      </w:r>
    </w:p>
    <w:p w14:paraId="4DDFAE5E" w14:textId="391D035A" w:rsidR="000C751B" w:rsidRPr="00B94A94" w:rsidRDefault="000C751B" w:rsidP="00BD6117">
      <w:pPr>
        <w:pStyle w:val="VCAAbullet"/>
      </w:pPr>
      <w:r w:rsidRPr="00B94A94">
        <w:t xml:space="preserve">describe and analyse various </w:t>
      </w:r>
      <w:r w:rsidR="00212A01" w:rsidRPr="00B94A94">
        <w:t xml:space="preserve">perspectives, definitions and interpretations </w:t>
      </w:r>
      <w:r w:rsidRPr="00B94A94">
        <w:t xml:space="preserve">of health and </w:t>
      </w:r>
      <w:proofErr w:type="gramStart"/>
      <w:r w:rsidRPr="00B94A94">
        <w:t>wellbeing</w:t>
      </w:r>
      <w:proofErr w:type="gramEnd"/>
      <w:r w:rsidR="00F923F5" w:rsidRPr="00B94A94">
        <w:t xml:space="preserve"> </w:t>
      </w:r>
    </w:p>
    <w:p w14:paraId="19313B92" w14:textId="77777777" w:rsidR="000C751B" w:rsidRPr="00C14D55" w:rsidRDefault="000C751B" w:rsidP="00BD6117">
      <w:pPr>
        <w:pStyle w:val="VCAAbullet"/>
      </w:pPr>
      <w:r w:rsidRPr="00B94A94">
        <w:t>explain different dimensions of</w:t>
      </w:r>
      <w:r w:rsidRPr="00C14D55">
        <w:t xml:space="preserve"> health and </w:t>
      </w:r>
      <w:proofErr w:type="gramStart"/>
      <w:r w:rsidRPr="00C14D55">
        <w:t>wellbeing</w:t>
      </w:r>
      <w:proofErr w:type="gramEnd"/>
    </w:p>
    <w:p w14:paraId="3DD1C6B3" w14:textId="6A97745E" w:rsidR="00215897" w:rsidRPr="00C14D55" w:rsidRDefault="00215897" w:rsidP="00BD6117">
      <w:pPr>
        <w:pStyle w:val="VCAAbullet"/>
      </w:pPr>
      <w:r w:rsidRPr="00C14D55">
        <w:t xml:space="preserve">discuss how access to prerequisites </w:t>
      </w:r>
      <w:r w:rsidR="0096683A">
        <w:t xml:space="preserve">for </w:t>
      </w:r>
      <w:r w:rsidRPr="00C14D55">
        <w:t xml:space="preserve">health can promote </w:t>
      </w:r>
      <w:r w:rsidR="00DE77D2">
        <w:t xml:space="preserve">positive </w:t>
      </w:r>
      <w:r w:rsidRPr="00C14D55">
        <w:t xml:space="preserve">health </w:t>
      </w:r>
      <w:proofErr w:type="gramStart"/>
      <w:r w:rsidRPr="00C14D55">
        <w:t>outcomes</w:t>
      </w:r>
      <w:proofErr w:type="gramEnd"/>
    </w:p>
    <w:p w14:paraId="10C70757" w14:textId="77777777" w:rsidR="000C751B" w:rsidRPr="00C14D55" w:rsidRDefault="000C751B" w:rsidP="00BD6117">
      <w:pPr>
        <w:pStyle w:val="VCAAbullet"/>
      </w:pPr>
      <w:r w:rsidRPr="00C14D55">
        <w:t xml:space="preserve">describe the subjective nature of health and </w:t>
      </w:r>
      <w:proofErr w:type="gramStart"/>
      <w:r w:rsidRPr="00C14D55">
        <w:t>wellbeing</w:t>
      </w:r>
      <w:proofErr w:type="gramEnd"/>
      <w:r w:rsidRPr="00C14D55">
        <w:t xml:space="preserve"> </w:t>
      </w:r>
    </w:p>
    <w:p w14:paraId="2D13AD45" w14:textId="11D9205F" w:rsidR="001528BE" w:rsidRPr="00BD6117" w:rsidRDefault="000C751B" w:rsidP="00BD6117">
      <w:pPr>
        <w:pStyle w:val="VCAAbullet"/>
      </w:pPr>
      <w:r w:rsidRPr="00BD6117">
        <w:t xml:space="preserve">discuss various perspectives </w:t>
      </w:r>
      <w:r w:rsidR="002B232C" w:rsidRPr="00BD6117">
        <w:t xml:space="preserve">on </w:t>
      </w:r>
      <w:r w:rsidRPr="00BD6117">
        <w:t xml:space="preserve">health and wellbeing, </w:t>
      </w:r>
      <w:r w:rsidR="001528BE" w:rsidRPr="00BD6117">
        <w:t>including those of youth and Aboriginal and Torres Strait Islander Peoples</w:t>
      </w:r>
    </w:p>
    <w:p w14:paraId="1B31DBF1" w14:textId="77777777" w:rsidR="000C751B" w:rsidRPr="00C14D55" w:rsidRDefault="000C751B" w:rsidP="00BD6117">
      <w:pPr>
        <w:pStyle w:val="VCAAbullet"/>
      </w:pPr>
      <w:r w:rsidRPr="00C14D55">
        <w:t xml:space="preserve">draw conclusions from health data about the health status of youth in </w:t>
      </w:r>
      <w:proofErr w:type="gramStart"/>
      <w:r w:rsidRPr="00C14D55">
        <w:t>Australia</w:t>
      </w:r>
      <w:proofErr w:type="gramEnd"/>
    </w:p>
    <w:p w14:paraId="62CF6784" w14:textId="39732417" w:rsidR="000C751B" w:rsidRPr="00C14D55" w:rsidRDefault="000C751B" w:rsidP="00BD6117">
      <w:pPr>
        <w:pStyle w:val="VCAAbullet"/>
      </w:pPr>
      <w:r w:rsidRPr="00C14D55">
        <w:t>explain and analyse a range of sociocultural factors that contribute to variations in the health outcomes of Australia’s youth</w:t>
      </w:r>
      <w:r w:rsidR="00554F05">
        <w:t>.</w:t>
      </w:r>
    </w:p>
    <w:p w14:paraId="49C33148" w14:textId="295B5E45" w:rsidR="000C751B" w:rsidRPr="00C14D55" w:rsidRDefault="000C751B" w:rsidP="00422E3D">
      <w:pPr>
        <w:pStyle w:val="VCAAHeading2"/>
        <w:rPr>
          <w:lang w:val="en-AU"/>
        </w:rPr>
      </w:pPr>
      <w:bookmarkStart w:id="76" w:name="_Toc159241257"/>
      <w:r w:rsidRPr="00C14D55">
        <w:rPr>
          <w:lang w:val="en-AU"/>
        </w:rPr>
        <w:t>Area of Study 2</w:t>
      </w:r>
      <w:bookmarkEnd w:id="76"/>
    </w:p>
    <w:p w14:paraId="60467A6F" w14:textId="77777777" w:rsidR="000C751B" w:rsidRPr="00C14D55" w:rsidRDefault="000C751B" w:rsidP="00422E3D">
      <w:pPr>
        <w:pStyle w:val="VCAAHeading3"/>
        <w:rPr>
          <w:lang w:val="en-AU"/>
        </w:rPr>
      </w:pPr>
      <w:bookmarkStart w:id="77" w:name="_Toc130815892"/>
      <w:bookmarkStart w:id="78" w:name="_Toc159241258"/>
      <w:bookmarkStart w:id="79" w:name="_Hlk128900136"/>
      <w:r w:rsidRPr="00C14D55">
        <w:rPr>
          <w:lang w:val="en-AU"/>
        </w:rPr>
        <w:t>Youth health and wellbeing</w:t>
      </w:r>
      <w:bookmarkEnd w:id="77"/>
      <w:bookmarkEnd w:id="78"/>
    </w:p>
    <w:p w14:paraId="55A9BE41" w14:textId="77777777" w:rsidR="00F923F5" w:rsidRDefault="000C751B" w:rsidP="00F923F5">
      <w:pPr>
        <w:pStyle w:val="VCAAbody"/>
        <w:rPr>
          <w:lang w:val="en-AU"/>
        </w:rPr>
      </w:pPr>
      <w:r w:rsidRPr="00C14D55">
        <w:rPr>
          <w:lang w:val="en-AU"/>
        </w:rPr>
        <w:t>In this area of study</w:t>
      </w:r>
      <w:r w:rsidR="00A708DB">
        <w:rPr>
          <w:lang w:val="en-AU"/>
        </w:rPr>
        <w:t>,</w:t>
      </w:r>
      <w:r w:rsidRPr="00C14D55">
        <w:rPr>
          <w:lang w:val="en-AU"/>
        </w:rPr>
        <w:t xml:space="preserve"> students apply the </w:t>
      </w:r>
      <w:r w:rsidR="00711321">
        <w:rPr>
          <w:lang w:val="en-AU"/>
        </w:rPr>
        <w:t xml:space="preserve">broad </w:t>
      </w:r>
      <w:r w:rsidRPr="00C14D55">
        <w:rPr>
          <w:lang w:val="en-AU"/>
        </w:rPr>
        <w:t xml:space="preserve">concepts of health </w:t>
      </w:r>
      <w:r w:rsidR="00711321">
        <w:rPr>
          <w:lang w:val="en-AU"/>
        </w:rPr>
        <w:t xml:space="preserve">and wellbeing </w:t>
      </w:r>
      <w:r w:rsidRPr="00C14D55">
        <w:rPr>
          <w:lang w:val="en-AU"/>
        </w:rPr>
        <w:t xml:space="preserve">from Area of Study 1 to </w:t>
      </w:r>
      <w:r w:rsidR="002B232C">
        <w:rPr>
          <w:lang w:val="en-AU"/>
        </w:rPr>
        <w:t>their study of</w:t>
      </w:r>
      <w:r w:rsidRPr="00C14D55">
        <w:rPr>
          <w:lang w:val="en-AU"/>
        </w:rPr>
        <w:t xml:space="preserve"> Australia’s youth. </w:t>
      </w:r>
      <w:r w:rsidR="00711321">
        <w:rPr>
          <w:lang w:val="en-AU"/>
        </w:rPr>
        <w:t>They</w:t>
      </w:r>
      <w:r w:rsidR="00711321" w:rsidRPr="00C14D55">
        <w:rPr>
          <w:lang w:val="en-AU"/>
        </w:rPr>
        <w:t xml:space="preserve"> </w:t>
      </w:r>
      <w:r w:rsidRPr="00C14D55">
        <w:rPr>
          <w:lang w:val="en-AU"/>
        </w:rPr>
        <w:t xml:space="preserve">identify major health inequalities impacting Australia’s youth and reflect on the causes. </w:t>
      </w:r>
      <w:r w:rsidR="00F923F5" w:rsidRPr="00C14D55">
        <w:rPr>
          <w:lang w:val="en-AU"/>
        </w:rPr>
        <w:t xml:space="preserve">Students </w:t>
      </w:r>
      <w:r w:rsidR="00F923F5">
        <w:rPr>
          <w:lang w:val="en-AU"/>
        </w:rPr>
        <w:t>i</w:t>
      </w:r>
      <w:r w:rsidR="00F923F5" w:rsidRPr="00C14D55">
        <w:rPr>
          <w:lang w:val="en-AU"/>
        </w:rPr>
        <w:t xml:space="preserve">nquire into how governments and organisations develop and implement youth health programs and consider factors that influence the implementation </w:t>
      </w:r>
      <w:r w:rsidR="00F923F5">
        <w:rPr>
          <w:lang w:val="en-AU"/>
        </w:rPr>
        <w:t xml:space="preserve">of </w:t>
      </w:r>
      <w:r w:rsidR="00F923F5" w:rsidRPr="00C14D55">
        <w:rPr>
          <w:lang w:val="en-AU"/>
        </w:rPr>
        <w:t xml:space="preserve">and access to these programs. </w:t>
      </w:r>
    </w:p>
    <w:p w14:paraId="163A1F86" w14:textId="7BEF52FD" w:rsidR="00F923F5" w:rsidRPr="00C14D55" w:rsidRDefault="00F923F5" w:rsidP="00F923F5">
      <w:pPr>
        <w:pStyle w:val="VCAAbody"/>
        <w:rPr>
          <w:lang w:val="en-AU"/>
        </w:rPr>
      </w:pPr>
      <w:r>
        <w:rPr>
          <w:lang w:val="en-AU"/>
        </w:rPr>
        <w:t>Students</w:t>
      </w:r>
      <w:r w:rsidRPr="00C14D55">
        <w:rPr>
          <w:lang w:val="en-AU"/>
        </w:rPr>
        <w:t xml:space="preserve"> conduct a research investigation and apply research skills to find out what young people are most focused on and concerned about regarding health outcomes. The focus for</w:t>
      </w:r>
      <w:r>
        <w:rPr>
          <w:lang w:val="en-AU"/>
        </w:rPr>
        <w:t xml:space="preserve"> this</w:t>
      </w:r>
      <w:r w:rsidRPr="00C14D55">
        <w:rPr>
          <w:lang w:val="en-AU"/>
        </w:rPr>
        <w:t xml:space="preserve"> research could include</w:t>
      </w:r>
      <w:r>
        <w:rPr>
          <w:lang w:val="en-AU"/>
        </w:rPr>
        <w:t xml:space="preserve"> key areas such as </w:t>
      </w:r>
      <w:r w:rsidRPr="00C14D55">
        <w:rPr>
          <w:lang w:val="en-AU"/>
        </w:rPr>
        <w:t>mental health and wellbeing, smoking and vaping, alcohol and other drugs, gambling, relationships and sexuality</w:t>
      </w:r>
      <w:r>
        <w:rPr>
          <w:lang w:val="en-AU"/>
        </w:rPr>
        <w:t>,</w:t>
      </w:r>
      <w:r w:rsidRPr="00C14D55">
        <w:rPr>
          <w:lang w:val="en-AU"/>
        </w:rPr>
        <w:t xml:space="preserve"> and safety</w:t>
      </w:r>
      <w:r>
        <w:rPr>
          <w:lang w:val="en-AU"/>
        </w:rPr>
        <w:t xml:space="preserve"> (for example, on the road, in the water and the sun, and online)</w:t>
      </w:r>
      <w:r w:rsidRPr="00C14D55">
        <w:rPr>
          <w:lang w:val="en-AU"/>
        </w:rPr>
        <w:t>.</w:t>
      </w:r>
    </w:p>
    <w:p w14:paraId="3AD68E57" w14:textId="4A9D04C2" w:rsidR="00F923F5" w:rsidRPr="00C14D55" w:rsidRDefault="00A21908" w:rsidP="00F923F5">
      <w:pPr>
        <w:pStyle w:val="VCAAbody"/>
        <w:rPr>
          <w:lang w:val="en-AU"/>
        </w:rPr>
      </w:pPr>
      <w:r>
        <w:rPr>
          <w:lang w:val="en-AU"/>
        </w:rPr>
        <w:t xml:space="preserve">Students </w:t>
      </w:r>
      <w:r w:rsidR="00F923F5" w:rsidRPr="00C14D55">
        <w:rPr>
          <w:lang w:val="en-AU"/>
        </w:rPr>
        <w:t xml:space="preserve">select a particular focus area and conduct research, interpret </w:t>
      </w:r>
      <w:proofErr w:type="gramStart"/>
      <w:r w:rsidR="00F923F5" w:rsidRPr="00C14D55">
        <w:rPr>
          <w:lang w:val="en-AU"/>
        </w:rPr>
        <w:t>data</w:t>
      </w:r>
      <w:proofErr w:type="gramEnd"/>
      <w:r w:rsidR="00F923F5" w:rsidRPr="00C14D55">
        <w:rPr>
          <w:lang w:val="en-AU"/>
        </w:rPr>
        <w:t xml:space="preserve"> and draw conclusions on how the health of Australia’s youth can be promoted and improved.</w:t>
      </w:r>
    </w:p>
    <w:p w14:paraId="75912220" w14:textId="77777777" w:rsidR="000C751B" w:rsidRPr="00C14D55" w:rsidRDefault="000C751B" w:rsidP="00422E3D">
      <w:pPr>
        <w:pStyle w:val="VCAAHeading3"/>
        <w:rPr>
          <w:lang w:val="en-AU" w:eastAsia="en-AU"/>
        </w:rPr>
      </w:pPr>
      <w:bookmarkStart w:id="80" w:name="_Toc130815893"/>
      <w:bookmarkStart w:id="81" w:name="_Toc159241259"/>
      <w:bookmarkEnd w:id="79"/>
      <w:r w:rsidRPr="00C14D55">
        <w:rPr>
          <w:lang w:val="en-AU" w:eastAsia="en-AU"/>
        </w:rPr>
        <w:t>Outcome 2</w:t>
      </w:r>
      <w:bookmarkEnd w:id="80"/>
      <w:bookmarkEnd w:id="81"/>
    </w:p>
    <w:p w14:paraId="5BD72886" w14:textId="4855AE94" w:rsidR="000C751B" w:rsidRPr="00C14D55" w:rsidRDefault="000C751B" w:rsidP="00422E3D">
      <w:pPr>
        <w:pStyle w:val="VCAAbody"/>
        <w:rPr>
          <w:lang w:val="en-AU"/>
        </w:rPr>
      </w:pPr>
      <w:r w:rsidRPr="00C14D55">
        <w:rPr>
          <w:lang w:val="en-AU"/>
        </w:rPr>
        <w:t>On completion of this unit</w:t>
      </w:r>
      <w:r w:rsidR="00A11633">
        <w:rPr>
          <w:lang w:val="en-AU"/>
        </w:rPr>
        <w:t>,</w:t>
      </w:r>
      <w:r w:rsidRPr="00C14D55">
        <w:rPr>
          <w:lang w:val="en-AU"/>
        </w:rPr>
        <w:t xml:space="preserve"> the student should be able to interpret data to identify key areas for improving youth health and </w:t>
      </w:r>
      <w:proofErr w:type="gramStart"/>
      <w:r w:rsidRPr="00C14D55">
        <w:rPr>
          <w:lang w:val="en-AU"/>
        </w:rPr>
        <w:t xml:space="preserve">wellbeing, </w:t>
      </w:r>
      <w:r w:rsidR="007F4B91" w:rsidRPr="00BD6117">
        <w:rPr>
          <w:color w:val="auto"/>
          <w:lang w:val="en-AU"/>
        </w:rPr>
        <w:t>and</w:t>
      </w:r>
      <w:proofErr w:type="gramEnd"/>
      <w:r w:rsidR="007F4B91" w:rsidRPr="00BD6117">
        <w:rPr>
          <w:color w:val="auto"/>
          <w:lang w:val="en-AU"/>
        </w:rPr>
        <w:t xml:space="preserve"> </w:t>
      </w:r>
      <w:r w:rsidRPr="00BD6117">
        <w:rPr>
          <w:color w:val="auto"/>
          <w:lang w:val="en-AU"/>
        </w:rPr>
        <w:t>analys</w:t>
      </w:r>
      <w:r w:rsidR="007F4B91" w:rsidRPr="00BD6117">
        <w:rPr>
          <w:color w:val="auto"/>
          <w:lang w:val="en-AU"/>
        </w:rPr>
        <w:t>e</w:t>
      </w:r>
      <w:r w:rsidRPr="00BD6117">
        <w:rPr>
          <w:color w:val="auto"/>
          <w:lang w:val="en-AU"/>
        </w:rPr>
        <w:t xml:space="preserve"> one </w:t>
      </w:r>
      <w:r w:rsidR="007F4B91" w:rsidRPr="00BD6117">
        <w:rPr>
          <w:color w:val="auto"/>
          <w:lang w:val="en-AU"/>
        </w:rPr>
        <w:t xml:space="preserve">youth health </w:t>
      </w:r>
      <w:r w:rsidRPr="00BD6117">
        <w:rPr>
          <w:color w:val="auto"/>
          <w:lang w:val="en-AU"/>
        </w:rPr>
        <w:t xml:space="preserve">area </w:t>
      </w:r>
      <w:r w:rsidRPr="00C14D55">
        <w:rPr>
          <w:lang w:val="en-AU"/>
        </w:rPr>
        <w:t>in detail</w:t>
      </w:r>
      <w:r w:rsidR="00314920">
        <w:rPr>
          <w:lang w:val="en-AU"/>
        </w:rPr>
        <w:t>.</w:t>
      </w:r>
    </w:p>
    <w:p w14:paraId="683A831B" w14:textId="07A6C8DD" w:rsidR="000C751B" w:rsidRPr="00C14D55" w:rsidRDefault="000C751B" w:rsidP="00422E3D">
      <w:pPr>
        <w:pStyle w:val="VCAAbody"/>
        <w:rPr>
          <w:lang w:val="en-AU"/>
        </w:rPr>
      </w:pPr>
      <w:r w:rsidRPr="00C14D55">
        <w:rPr>
          <w:lang w:val="en-AU"/>
        </w:rPr>
        <w:t>To achieve this outcome</w:t>
      </w:r>
      <w:r w:rsidR="00A11633">
        <w:rPr>
          <w:lang w:val="en-AU"/>
        </w:rPr>
        <w:t>,</w:t>
      </w:r>
      <w:r w:rsidRPr="00C14D55">
        <w:rPr>
          <w:lang w:val="en-AU"/>
        </w:rPr>
        <w:t xml:space="preserve"> the student will draw on </w:t>
      </w:r>
      <w:r w:rsidR="00BC4BA5">
        <w:rPr>
          <w:lang w:val="en-AU"/>
        </w:rPr>
        <w:t xml:space="preserve">the </w:t>
      </w:r>
      <w:r w:rsidRPr="00C14D55">
        <w:rPr>
          <w:lang w:val="en-AU"/>
        </w:rPr>
        <w:t>key knowledge and key skills outlined in Area of Study 2.</w:t>
      </w:r>
    </w:p>
    <w:p w14:paraId="39AC49EF" w14:textId="77777777" w:rsidR="000C751B" w:rsidRPr="00C14D55" w:rsidRDefault="000C751B" w:rsidP="00AB1B78">
      <w:pPr>
        <w:pStyle w:val="VCAAHeading5"/>
        <w:rPr>
          <w:lang w:val="en-AU"/>
        </w:rPr>
      </w:pPr>
      <w:r w:rsidRPr="00C14D55">
        <w:rPr>
          <w:lang w:val="en-AU"/>
        </w:rPr>
        <w:t>Key knowledge</w:t>
      </w:r>
    </w:p>
    <w:p w14:paraId="219D1644" w14:textId="32FD564F" w:rsidR="000C751B" w:rsidRPr="00C14D55" w:rsidRDefault="00977C48" w:rsidP="00BD6117">
      <w:pPr>
        <w:pStyle w:val="VCAAbullet"/>
      </w:pPr>
      <w:r>
        <w:t xml:space="preserve">key areas </w:t>
      </w:r>
      <w:r w:rsidR="000C751B" w:rsidRPr="00C14D55">
        <w:t xml:space="preserve">of youth health requiring health action, as indicated by health </w:t>
      </w:r>
      <w:proofErr w:type="gramStart"/>
      <w:r w:rsidR="000C751B" w:rsidRPr="00C14D55">
        <w:t>data</w:t>
      </w:r>
      <w:proofErr w:type="gramEnd"/>
    </w:p>
    <w:p w14:paraId="226BEA46" w14:textId="77777777" w:rsidR="000C751B" w:rsidRPr="00C14D55" w:rsidRDefault="000C751B" w:rsidP="00BD6117">
      <w:pPr>
        <w:pStyle w:val="VCAAbullet"/>
      </w:pPr>
      <w:r w:rsidRPr="00C14D55">
        <w:t xml:space="preserve">government and non-government programs relating to youth health and </w:t>
      </w:r>
      <w:proofErr w:type="gramStart"/>
      <w:r w:rsidRPr="00C14D55">
        <w:t>wellbeing</w:t>
      </w:r>
      <w:proofErr w:type="gramEnd"/>
    </w:p>
    <w:p w14:paraId="2107426B" w14:textId="32838FAA" w:rsidR="000C751B" w:rsidRPr="00C14D55" w:rsidRDefault="00442A4F" w:rsidP="00BD6117">
      <w:pPr>
        <w:pStyle w:val="VCAAbullet"/>
        <w:rPr>
          <w:rFonts w:eastAsia="Arial"/>
          <w:color w:val="000000"/>
          <w:lang w:eastAsia="en-AU"/>
        </w:rPr>
      </w:pPr>
      <w:r>
        <w:t xml:space="preserve">the following </w:t>
      </w:r>
      <w:r w:rsidR="000C751B" w:rsidRPr="00C14D55">
        <w:t>features of one health focus relating to Australia’s youth:</w:t>
      </w:r>
    </w:p>
    <w:p w14:paraId="2E8BC52F" w14:textId="77777777" w:rsidR="000C751B" w:rsidRPr="00F812C7" w:rsidRDefault="000C751B" w:rsidP="00BD6117">
      <w:pPr>
        <w:pStyle w:val="VCAAbulletlevel2"/>
      </w:pPr>
      <w:r w:rsidRPr="00F812C7">
        <w:t>impact on different dimensions of health and wellbeing</w:t>
      </w:r>
    </w:p>
    <w:p w14:paraId="43186C66" w14:textId="42BE9F36" w:rsidR="000C751B" w:rsidRPr="00F812C7" w:rsidRDefault="000C751B" w:rsidP="00BD6117">
      <w:pPr>
        <w:pStyle w:val="VCAAbulletlevel2"/>
      </w:pPr>
      <w:r w:rsidRPr="00F812C7">
        <w:t xml:space="preserve">data </w:t>
      </w:r>
      <w:r w:rsidR="0077402F" w:rsidRPr="00F812C7">
        <w:t>such as</w:t>
      </w:r>
      <w:r w:rsidRPr="00F812C7">
        <w:t xml:space="preserve"> incidence, </w:t>
      </w:r>
      <w:proofErr w:type="gramStart"/>
      <w:r w:rsidR="0077402F" w:rsidRPr="00F812C7">
        <w:t>prevalence</w:t>
      </w:r>
      <w:proofErr w:type="gramEnd"/>
      <w:r w:rsidRPr="00F812C7">
        <w:t xml:space="preserve"> and trends</w:t>
      </w:r>
    </w:p>
    <w:p w14:paraId="1B03541B" w14:textId="77777777" w:rsidR="000C751B" w:rsidRPr="00F812C7" w:rsidRDefault="000C751B" w:rsidP="00BD6117">
      <w:pPr>
        <w:pStyle w:val="VCAAbulletlevel2"/>
      </w:pPr>
      <w:r w:rsidRPr="00F812C7">
        <w:t xml:space="preserve">risk and protective factors </w:t>
      </w:r>
    </w:p>
    <w:p w14:paraId="69BE5B7C" w14:textId="77777777" w:rsidR="000C751B" w:rsidRPr="00F812C7" w:rsidRDefault="000C751B" w:rsidP="00BD6117">
      <w:pPr>
        <w:pStyle w:val="VCAAbulletlevel2"/>
      </w:pPr>
      <w:r w:rsidRPr="00F812C7">
        <w:t xml:space="preserve">healthcare services and support </w:t>
      </w:r>
    </w:p>
    <w:p w14:paraId="46C88F6B" w14:textId="77777777" w:rsidR="000C751B" w:rsidRPr="00F812C7" w:rsidRDefault="000C751B" w:rsidP="00BD6117">
      <w:pPr>
        <w:pStyle w:val="VCAAbulletlevel2"/>
      </w:pPr>
      <w:r w:rsidRPr="00F812C7">
        <w:t xml:space="preserve">government and community programs and personal strategies to reduce negative </w:t>
      </w:r>
      <w:proofErr w:type="gramStart"/>
      <w:r w:rsidRPr="00F812C7">
        <w:t>impact</w:t>
      </w:r>
      <w:proofErr w:type="gramEnd"/>
      <w:r w:rsidRPr="00F812C7">
        <w:t xml:space="preserve"> </w:t>
      </w:r>
    </w:p>
    <w:p w14:paraId="1732E0E1" w14:textId="77777777" w:rsidR="000C751B" w:rsidRPr="00F812C7" w:rsidRDefault="000C751B" w:rsidP="00BD6117">
      <w:pPr>
        <w:pStyle w:val="VCAAbulletlevel2"/>
      </w:pPr>
      <w:r w:rsidRPr="00F812C7">
        <w:t xml:space="preserve">direct, </w:t>
      </w:r>
      <w:proofErr w:type="gramStart"/>
      <w:r w:rsidRPr="00F812C7">
        <w:t>indirect</w:t>
      </w:r>
      <w:proofErr w:type="gramEnd"/>
      <w:r w:rsidRPr="00F812C7">
        <w:t xml:space="preserve"> and intangible costs to individuals and/or communities </w:t>
      </w:r>
    </w:p>
    <w:p w14:paraId="15E9C586" w14:textId="76CC1055" w:rsidR="00422E3D" w:rsidRPr="00F812C7" w:rsidRDefault="000C751B" w:rsidP="00BD6117">
      <w:pPr>
        <w:pStyle w:val="VCAAbulletlevel2"/>
      </w:pPr>
      <w:r w:rsidRPr="00F812C7">
        <w:t>opportunities for youth advocacy and action on a personal and community level to improve outcomes in terms of health and equity</w:t>
      </w:r>
      <w:r w:rsidR="00530A58">
        <w:t>.</w:t>
      </w:r>
    </w:p>
    <w:p w14:paraId="2F5A6135" w14:textId="77777777" w:rsidR="00422E3D" w:rsidRPr="00C14D55" w:rsidRDefault="00422E3D">
      <w:pPr>
        <w:rPr>
          <w:rFonts w:ascii="Arial" w:eastAsia="Times New Roman" w:hAnsi="Arial" w:cs="Arial"/>
          <w:color w:val="000000" w:themeColor="text1"/>
          <w:kern w:val="22"/>
          <w:sz w:val="20"/>
          <w:lang w:eastAsia="ja-JP"/>
        </w:rPr>
      </w:pPr>
      <w:r w:rsidRPr="00C14D55">
        <w:br w:type="page"/>
      </w:r>
    </w:p>
    <w:p w14:paraId="198E465F" w14:textId="77777777" w:rsidR="000C751B" w:rsidRPr="00C14D55" w:rsidRDefault="000C751B" w:rsidP="00422E3D">
      <w:pPr>
        <w:pStyle w:val="VCAAHeading5"/>
        <w:rPr>
          <w:lang w:val="en-AU"/>
        </w:rPr>
      </w:pPr>
      <w:r w:rsidRPr="00C14D55">
        <w:rPr>
          <w:lang w:val="en-AU"/>
        </w:rPr>
        <w:lastRenderedPageBreak/>
        <w:t>Key skills</w:t>
      </w:r>
    </w:p>
    <w:p w14:paraId="022E5C45" w14:textId="5CB6ECE1" w:rsidR="000C751B" w:rsidRPr="00C14D55" w:rsidRDefault="000C751B" w:rsidP="00BD6117">
      <w:pPr>
        <w:pStyle w:val="VCAAbullet"/>
      </w:pPr>
      <w:r w:rsidRPr="00C14D55">
        <w:t>identify</w:t>
      </w:r>
      <w:r w:rsidR="00977C48">
        <w:t xml:space="preserve"> key</w:t>
      </w:r>
      <w:r w:rsidRPr="00C14D55">
        <w:t xml:space="preserve"> areas for action and improvement in youth health and wellbeing using research </w:t>
      </w:r>
      <w:r w:rsidR="00314920" w:rsidRPr="00BD6117">
        <w:t>to interpret</w:t>
      </w:r>
      <w:r w:rsidRPr="00BD6117">
        <w:t xml:space="preserve"> </w:t>
      </w:r>
      <w:proofErr w:type="gramStart"/>
      <w:r w:rsidRPr="00BD6117">
        <w:t>data</w:t>
      </w:r>
      <w:proofErr w:type="gramEnd"/>
    </w:p>
    <w:p w14:paraId="4796678E" w14:textId="77777777" w:rsidR="000C751B" w:rsidRPr="00C14D55" w:rsidRDefault="000C751B" w:rsidP="00BD6117">
      <w:pPr>
        <w:pStyle w:val="VCAAbullet"/>
      </w:pPr>
      <w:r w:rsidRPr="00C14D55">
        <w:t xml:space="preserve">analyse factors that contribute to inequalities in the health status of Australia’s </w:t>
      </w:r>
      <w:proofErr w:type="gramStart"/>
      <w:r w:rsidRPr="00C14D55">
        <w:t>youth</w:t>
      </w:r>
      <w:proofErr w:type="gramEnd"/>
    </w:p>
    <w:p w14:paraId="700F9E08" w14:textId="49EC33E3" w:rsidR="000C751B" w:rsidRPr="00C14D55" w:rsidRDefault="000C751B" w:rsidP="00BD6117">
      <w:pPr>
        <w:pStyle w:val="VCAAbullet"/>
      </w:pPr>
      <w:r w:rsidRPr="00C14D55">
        <w:t>analyse factors that influence the creation</w:t>
      </w:r>
      <w:r w:rsidR="00F15B77">
        <w:t xml:space="preserve"> and </w:t>
      </w:r>
      <w:r w:rsidRPr="00C14D55">
        <w:t xml:space="preserve">implementation </w:t>
      </w:r>
      <w:r w:rsidR="00F15B77">
        <w:t xml:space="preserve">of, </w:t>
      </w:r>
      <w:r w:rsidRPr="00C14D55">
        <w:t>and access to</w:t>
      </w:r>
      <w:r w:rsidR="00F15B77">
        <w:t>,</w:t>
      </w:r>
      <w:r w:rsidRPr="00C14D55">
        <w:t xml:space="preserve"> programs that target youth health such as equity, social justice, community values and </w:t>
      </w:r>
      <w:proofErr w:type="gramStart"/>
      <w:r w:rsidRPr="00C14D55">
        <w:t>funding</w:t>
      </w:r>
      <w:proofErr w:type="gramEnd"/>
    </w:p>
    <w:p w14:paraId="222E9BE2" w14:textId="51A6ABBE" w:rsidR="000C751B" w:rsidRPr="00C14D55" w:rsidRDefault="000C751B" w:rsidP="00BD6117">
      <w:pPr>
        <w:pStyle w:val="VCAAbullet"/>
      </w:pPr>
      <w:r w:rsidRPr="00C14D55">
        <w:t xml:space="preserve">research, collect and analyse data on one </w:t>
      </w:r>
      <w:r w:rsidR="007A127D" w:rsidRPr="00C14D55">
        <w:t>health</w:t>
      </w:r>
      <w:r w:rsidRPr="00C14D55">
        <w:t xml:space="preserve"> focus relating to youth</w:t>
      </w:r>
      <w:r w:rsidR="00D14513">
        <w:t>,</w:t>
      </w:r>
      <w:r w:rsidRPr="00C14D55">
        <w:t xml:space="preserve"> </w:t>
      </w:r>
      <w:r w:rsidR="00D14513">
        <w:t>examining</w:t>
      </w:r>
      <w:r w:rsidRPr="00C14D55">
        <w:t xml:space="preserve"> its impact, management</w:t>
      </w:r>
      <w:r w:rsidR="00215897" w:rsidRPr="00C14D55">
        <w:t xml:space="preserve">, </w:t>
      </w:r>
      <w:proofErr w:type="gramStart"/>
      <w:r w:rsidR="00215897" w:rsidRPr="00C14D55">
        <w:t>advocacy</w:t>
      </w:r>
      <w:proofErr w:type="gramEnd"/>
      <w:r w:rsidRPr="00C14D55">
        <w:t xml:space="preserve"> and costs</w:t>
      </w:r>
      <w:r w:rsidR="00D14513">
        <w:t>.</w:t>
      </w:r>
    </w:p>
    <w:p w14:paraId="4B85BDD0" w14:textId="2615477D" w:rsidR="000C751B" w:rsidRPr="00C14D55" w:rsidRDefault="000C751B" w:rsidP="00422E3D">
      <w:pPr>
        <w:pStyle w:val="VCAAHeading2"/>
        <w:rPr>
          <w:lang w:val="en-AU"/>
        </w:rPr>
      </w:pPr>
      <w:bookmarkStart w:id="82" w:name="_Toc159241260"/>
      <w:r w:rsidRPr="00C14D55">
        <w:rPr>
          <w:lang w:val="en-AU"/>
        </w:rPr>
        <w:t>Area of Study 3</w:t>
      </w:r>
      <w:bookmarkEnd w:id="82"/>
    </w:p>
    <w:p w14:paraId="64CFB0CC" w14:textId="2C13D5B6" w:rsidR="000C751B" w:rsidRPr="00C14D55" w:rsidRDefault="000C751B" w:rsidP="00422E3D">
      <w:pPr>
        <w:pStyle w:val="VCAAHeading3"/>
        <w:rPr>
          <w:lang w:val="en-AU"/>
        </w:rPr>
      </w:pPr>
      <w:bookmarkStart w:id="83" w:name="_Toc130815895"/>
      <w:bookmarkStart w:id="84" w:name="_Toc159241261"/>
      <w:r w:rsidRPr="00C14D55">
        <w:rPr>
          <w:lang w:val="en-AU"/>
        </w:rPr>
        <w:t xml:space="preserve">Health and </w:t>
      </w:r>
      <w:r w:rsidR="00422E3D" w:rsidRPr="00C14D55">
        <w:rPr>
          <w:lang w:val="en-AU"/>
        </w:rPr>
        <w:t>n</w:t>
      </w:r>
      <w:r w:rsidRPr="00C14D55">
        <w:rPr>
          <w:lang w:val="en-AU"/>
        </w:rPr>
        <w:t>utrition</w:t>
      </w:r>
      <w:bookmarkEnd w:id="83"/>
      <w:bookmarkEnd w:id="84"/>
    </w:p>
    <w:p w14:paraId="0EBE72F4" w14:textId="09776B80" w:rsidR="000C751B" w:rsidRPr="00C14D55" w:rsidRDefault="006E6573" w:rsidP="00422E3D">
      <w:pPr>
        <w:pStyle w:val="VCAAbody"/>
        <w:rPr>
          <w:lang w:val="en-AU" w:eastAsia="en-AU"/>
        </w:rPr>
      </w:pPr>
      <w:r>
        <w:rPr>
          <w:lang w:val="en-AU" w:eastAsia="en-AU"/>
        </w:rPr>
        <w:t>In t</w:t>
      </w:r>
      <w:r w:rsidR="000C751B" w:rsidRPr="00C14D55">
        <w:rPr>
          <w:lang w:val="en-AU" w:eastAsia="en-AU"/>
        </w:rPr>
        <w:t>his area of study</w:t>
      </w:r>
      <w:r>
        <w:rPr>
          <w:lang w:val="en-AU" w:eastAsia="en-AU"/>
        </w:rPr>
        <w:t>, students</w:t>
      </w:r>
      <w:r w:rsidR="000C751B" w:rsidRPr="00C14D55">
        <w:rPr>
          <w:lang w:val="en-AU" w:eastAsia="en-AU"/>
        </w:rPr>
        <w:t xml:space="preserve"> explore food and nutrition as foundations for good health. </w:t>
      </w:r>
      <w:r>
        <w:rPr>
          <w:lang w:val="en-AU" w:eastAsia="en-AU"/>
        </w:rPr>
        <w:t>They</w:t>
      </w:r>
      <w:r w:rsidRPr="00C14D55">
        <w:rPr>
          <w:lang w:val="en-AU" w:eastAsia="en-AU"/>
        </w:rPr>
        <w:t xml:space="preserve"> </w:t>
      </w:r>
      <w:r w:rsidR="000C751B" w:rsidRPr="00C14D55">
        <w:rPr>
          <w:lang w:val="en-AU" w:eastAsia="en-AU"/>
        </w:rPr>
        <w:t xml:space="preserve">investigate the roles and sources of major nutrients and the use of food selection models and other initiatives to promote healthy eating. </w:t>
      </w:r>
      <w:r>
        <w:rPr>
          <w:lang w:val="en-AU" w:eastAsia="en-AU"/>
        </w:rPr>
        <w:t>Students</w:t>
      </w:r>
      <w:r w:rsidRPr="00C14D55">
        <w:rPr>
          <w:lang w:val="en-AU" w:eastAsia="en-AU"/>
        </w:rPr>
        <w:t xml:space="preserve"> </w:t>
      </w:r>
      <w:r w:rsidR="000C751B" w:rsidRPr="00C14D55">
        <w:rPr>
          <w:lang w:val="en-AU" w:eastAsia="en-AU"/>
        </w:rPr>
        <w:t xml:space="preserve">explore the health consequences of </w:t>
      </w:r>
      <w:r w:rsidR="00BD6117">
        <w:rPr>
          <w:lang w:val="en-AU" w:eastAsia="en-AU"/>
        </w:rPr>
        <w:t xml:space="preserve">nutritional </w:t>
      </w:r>
      <w:r w:rsidR="00BD6117" w:rsidRPr="00C14D55">
        <w:rPr>
          <w:lang w:val="en-AU" w:eastAsia="en-AU"/>
        </w:rPr>
        <w:t>imbalance</w:t>
      </w:r>
      <w:r w:rsidR="000C751B" w:rsidRPr="00C14D55">
        <w:rPr>
          <w:lang w:val="en-AU" w:eastAsia="en-AU"/>
        </w:rPr>
        <w:t xml:space="preserve">, especially for youth, and consider the </w:t>
      </w:r>
      <w:r w:rsidR="000C751B" w:rsidRPr="00C14D55">
        <w:rPr>
          <w:rFonts w:eastAsia="Times New Roman"/>
          <w:kern w:val="22"/>
          <w:szCs w:val="20"/>
          <w:lang w:val="en-AU" w:eastAsia="ja-JP"/>
        </w:rPr>
        <w:t xml:space="preserve">sociocultural and commercial </w:t>
      </w:r>
      <w:r w:rsidR="000C751B" w:rsidRPr="00C14D55">
        <w:rPr>
          <w:lang w:val="en-AU" w:eastAsia="en-AU"/>
        </w:rPr>
        <w:t xml:space="preserve">factors that influence the food practices </w:t>
      </w:r>
      <w:r w:rsidR="007A127D" w:rsidRPr="00C14D55">
        <w:rPr>
          <w:lang w:val="en-AU" w:eastAsia="en-AU"/>
        </w:rPr>
        <w:t>of,</w:t>
      </w:r>
      <w:r w:rsidR="000C751B" w:rsidRPr="00C14D55">
        <w:rPr>
          <w:lang w:val="en-AU" w:eastAsia="en-AU"/>
        </w:rPr>
        <w:t xml:space="preserve"> and food choices made</w:t>
      </w:r>
      <w:r w:rsidR="009B4CB5">
        <w:rPr>
          <w:lang w:val="en-AU" w:eastAsia="en-AU"/>
        </w:rPr>
        <w:t>,</w:t>
      </w:r>
      <w:r w:rsidR="000C751B" w:rsidRPr="00C14D55">
        <w:rPr>
          <w:lang w:val="en-AU" w:eastAsia="en-AU"/>
        </w:rPr>
        <w:t xml:space="preserve"> by youth. They develop strategies for building health literacy and evaluating nutrition information from various sources, including advertisements and social media.</w:t>
      </w:r>
    </w:p>
    <w:p w14:paraId="3B4CC33F" w14:textId="77777777" w:rsidR="000C751B" w:rsidRPr="00C14D55" w:rsidRDefault="000C751B" w:rsidP="00422E3D">
      <w:pPr>
        <w:pStyle w:val="VCAAHeading3"/>
        <w:rPr>
          <w:lang w:val="en-AU" w:eastAsia="en-AU"/>
        </w:rPr>
      </w:pPr>
      <w:bookmarkStart w:id="85" w:name="_Toc130815896"/>
      <w:bookmarkStart w:id="86" w:name="_Toc159241262"/>
      <w:r w:rsidRPr="00C14D55">
        <w:rPr>
          <w:lang w:val="en-AU" w:eastAsia="en-AU"/>
        </w:rPr>
        <w:t>Outcome 3</w:t>
      </w:r>
      <w:bookmarkEnd w:id="85"/>
      <w:bookmarkEnd w:id="86"/>
    </w:p>
    <w:p w14:paraId="1A1FE543" w14:textId="7C7ED247" w:rsidR="00314920" w:rsidRPr="00BD6117" w:rsidRDefault="00314920" w:rsidP="00422E3D">
      <w:pPr>
        <w:pStyle w:val="VCAAbody"/>
        <w:rPr>
          <w:color w:val="auto"/>
          <w:lang w:val="en-AU"/>
        </w:rPr>
      </w:pPr>
      <w:r w:rsidRPr="00BD6117">
        <w:rPr>
          <w:color w:val="auto"/>
          <w:lang w:val="en-AU"/>
        </w:rPr>
        <w:t xml:space="preserve">On completion of this unit, the student should be able to apply nutrition </w:t>
      </w:r>
      <w:r w:rsidR="00515C09" w:rsidRPr="00BD6117">
        <w:rPr>
          <w:color w:val="auto"/>
          <w:lang w:val="en-AU"/>
        </w:rPr>
        <w:t xml:space="preserve">information, </w:t>
      </w:r>
      <w:r w:rsidRPr="00BD6117">
        <w:rPr>
          <w:color w:val="auto"/>
          <w:lang w:val="en-AU"/>
        </w:rPr>
        <w:t xml:space="preserve">food selection models and initiatives to evaluate nutrition information. </w:t>
      </w:r>
    </w:p>
    <w:p w14:paraId="79880D98" w14:textId="58D8BE60" w:rsidR="000C751B" w:rsidRPr="00C14D55" w:rsidRDefault="000C751B" w:rsidP="00422E3D">
      <w:pPr>
        <w:pStyle w:val="VCAAbody"/>
        <w:rPr>
          <w:lang w:val="en-AU"/>
        </w:rPr>
      </w:pPr>
      <w:r w:rsidRPr="00C14D55">
        <w:rPr>
          <w:lang w:val="en-AU"/>
        </w:rPr>
        <w:t>To achieve this outcome</w:t>
      </w:r>
      <w:r w:rsidR="003A2B5C">
        <w:rPr>
          <w:lang w:val="en-AU"/>
        </w:rPr>
        <w:t>,</w:t>
      </w:r>
      <w:r w:rsidRPr="00C14D55">
        <w:rPr>
          <w:lang w:val="en-AU"/>
        </w:rPr>
        <w:t xml:space="preserve"> the student will draw on </w:t>
      </w:r>
      <w:r w:rsidR="00442A4F">
        <w:rPr>
          <w:lang w:val="en-AU"/>
        </w:rPr>
        <w:t xml:space="preserve">the </w:t>
      </w:r>
      <w:r w:rsidRPr="00C14D55">
        <w:rPr>
          <w:lang w:val="en-AU"/>
        </w:rPr>
        <w:t>key knowledge and key skills outlined in Area of Study 3.</w:t>
      </w:r>
    </w:p>
    <w:p w14:paraId="53E9C565" w14:textId="77777777" w:rsidR="000C751B" w:rsidRPr="00C14D55" w:rsidRDefault="000C751B" w:rsidP="00422E3D">
      <w:pPr>
        <w:pStyle w:val="VCAAHeading5"/>
        <w:rPr>
          <w:lang w:val="en-AU"/>
        </w:rPr>
      </w:pPr>
      <w:r w:rsidRPr="00C14D55">
        <w:rPr>
          <w:lang w:val="en-AU"/>
        </w:rPr>
        <w:t>Key knowledge</w:t>
      </w:r>
    </w:p>
    <w:p w14:paraId="4A46A236" w14:textId="150EB457" w:rsidR="000C751B" w:rsidRPr="00C14D55" w:rsidRDefault="000C751B" w:rsidP="00BD6117">
      <w:pPr>
        <w:pStyle w:val="VCAAbullet"/>
      </w:pPr>
      <w:r w:rsidRPr="00C14D55">
        <w:t>the function and food sources of major nutrients important for health outcomes</w:t>
      </w:r>
      <w:r w:rsidR="00527249" w:rsidRPr="00C14D55">
        <w:t>,</w:t>
      </w:r>
      <w:r w:rsidRPr="00C14D55">
        <w:t xml:space="preserve"> such as carbohydrates</w:t>
      </w:r>
      <w:r w:rsidR="00566ADF" w:rsidRPr="00C14D55">
        <w:t xml:space="preserve"> (including fibre)</w:t>
      </w:r>
      <w:r w:rsidRPr="00C14D55">
        <w:t>, fats, proteins, water, vitamin C, vitamin D, iron, calcium, sodium</w:t>
      </w:r>
      <w:r w:rsidR="008456A1">
        <w:t xml:space="preserve"> and</w:t>
      </w:r>
      <w:r w:rsidRPr="00C14D55">
        <w:t xml:space="preserve"> </w:t>
      </w:r>
      <w:proofErr w:type="gramStart"/>
      <w:r w:rsidRPr="00C14D55">
        <w:t>folate</w:t>
      </w:r>
      <w:proofErr w:type="gramEnd"/>
      <w:r w:rsidRPr="00C14D55">
        <w:t xml:space="preserve">    </w:t>
      </w:r>
    </w:p>
    <w:p w14:paraId="12C9C863" w14:textId="5A2BB900" w:rsidR="000C751B" w:rsidRPr="00C14D55" w:rsidRDefault="000C751B" w:rsidP="00BD6117">
      <w:pPr>
        <w:pStyle w:val="VCAAbullet"/>
      </w:pPr>
      <w:r w:rsidRPr="00C14D55">
        <w:t xml:space="preserve">the use of food selection models and other initiatives to promote healthy eating among youth, such as the Australian Guide to Healthy Eating, the Healthy Eating Pyramid and the Health Star Rating </w:t>
      </w:r>
      <w:proofErr w:type="gramStart"/>
      <w:r w:rsidR="00F15B77">
        <w:t>s</w:t>
      </w:r>
      <w:r w:rsidR="00F15B77" w:rsidRPr="00C14D55">
        <w:t>ystem</w:t>
      </w:r>
      <w:proofErr w:type="gramEnd"/>
    </w:p>
    <w:p w14:paraId="62193E7A" w14:textId="77777777" w:rsidR="000C751B" w:rsidRPr="00C14D55" w:rsidRDefault="000C751B" w:rsidP="00BD6117">
      <w:pPr>
        <w:pStyle w:val="VCAAbullet"/>
      </w:pPr>
      <w:r w:rsidRPr="00C14D55">
        <w:t xml:space="preserve">sources of nutrition information and methods to evaluate its </w:t>
      </w:r>
      <w:proofErr w:type="gramStart"/>
      <w:r w:rsidRPr="00C14D55">
        <w:t>validity</w:t>
      </w:r>
      <w:proofErr w:type="gramEnd"/>
    </w:p>
    <w:p w14:paraId="7D7EB737" w14:textId="54C2356F" w:rsidR="000C751B" w:rsidRPr="00C14D55" w:rsidRDefault="000C751B" w:rsidP="00BD6117">
      <w:pPr>
        <w:pStyle w:val="VCAAbullet"/>
      </w:pPr>
      <w:r w:rsidRPr="00C14D55">
        <w:t xml:space="preserve">sociocultural </w:t>
      </w:r>
      <w:r w:rsidR="00DA62F3" w:rsidRPr="00C14D55">
        <w:t>factors</w:t>
      </w:r>
      <w:r w:rsidR="003C66BE">
        <w:t>,</w:t>
      </w:r>
      <w:r w:rsidR="00DA62F3" w:rsidRPr="00C14D55">
        <w:t xml:space="preserve"> including </w:t>
      </w:r>
      <w:r w:rsidRPr="00C14D55">
        <w:t>commercial factors</w:t>
      </w:r>
      <w:r w:rsidR="003C66BE">
        <w:t>,</w:t>
      </w:r>
      <w:r w:rsidRPr="00C14D55">
        <w:t xml:space="preserve"> that act as enablers </w:t>
      </w:r>
      <w:r w:rsidR="008D4145">
        <w:t xml:space="preserve">of </w:t>
      </w:r>
      <w:r w:rsidRPr="00C14D55">
        <w:t>or barriers to healthy eating among youth</w:t>
      </w:r>
      <w:r w:rsidR="00310CA3">
        <w:t xml:space="preserve">, with a focus on the tactics </w:t>
      </w:r>
      <w:r w:rsidR="00310CA3" w:rsidRPr="00C14D55">
        <w:t xml:space="preserve">used in the marketing </w:t>
      </w:r>
      <w:r w:rsidR="003C66BE">
        <w:t xml:space="preserve">and promotion </w:t>
      </w:r>
      <w:r w:rsidR="00310CA3" w:rsidRPr="00C14D55">
        <w:t>of food to youth</w:t>
      </w:r>
      <w:r w:rsidR="007C05C5">
        <w:t>.</w:t>
      </w:r>
    </w:p>
    <w:p w14:paraId="0147C493" w14:textId="77777777" w:rsidR="000C751B" w:rsidRPr="00C14D55" w:rsidRDefault="000C751B" w:rsidP="00422E3D">
      <w:pPr>
        <w:pStyle w:val="VCAAHeading5"/>
        <w:rPr>
          <w:lang w:val="en-AU"/>
        </w:rPr>
      </w:pPr>
      <w:r w:rsidRPr="00C14D55">
        <w:rPr>
          <w:lang w:val="en-AU"/>
        </w:rPr>
        <w:t>Key skills</w:t>
      </w:r>
    </w:p>
    <w:p w14:paraId="394CFE2A" w14:textId="20DB86D7" w:rsidR="000C751B" w:rsidRPr="00C14D55" w:rsidRDefault="000C751B" w:rsidP="00BD6117">
      <w:pPr>
        <w:pStyle w:val="VCAAbullet"/>
      </w:pPr>
      <w:r w:rsidRPr="00C14D55">
        <w:t xml:space="preserve">explain the role of major nutrients </w:t>
      </w:r>
      <w:r w:rsidR="008D4145">
        <w:t>in</w:t>
      </w:r>
      <w:r w:rsidR="008D4145" w:rsidRPr="00C14D55">
        <w:t xml:space="preserve"> </w:t>
      </w:r>
      <w:r w:rsidRPr="00C14D55">
        <w:t xml:space="preserve">health </w:t>
      </w:r>
      <w:proofErr w:type="gramStart"/>
      <w:r w:rsidRPr="00C14D55">
        <w:t>outcomes</w:t>
      </w:r>
      <w:proofErr w:type="gramEnd"/>
    </w:p>
    <w:p w14:paraId="59BF6507" w14:textId="7DE21286" w:rsidR="000C751B" w:rsidRPr="00C14D55" w:rsidRDefault="000C751B" w:rsidP="00BD6117">
      <w:pPr>
        <w:pStyle w:val="VCAAbullet"/>
      </w:pPr>
      <w:r w:rsidRPr="00C14D55">
        <w:t xml:space="preserve">describe the possible consequences of nutritional imbalance </w:t>
      </w:r>
      <w:r w:rsidR="00CF5B30">
        <w:t xml:space="preserve">on short </w:t>
      </w:r>
      <w:r w:rsidRPr="00C14D55">
        <w:t>and long-term health</w:t>
      </w:r>
      <w:r w:rsidR="008E1CEC">
        <w:t xml:space="preserve"> </w:t>
      </w:r>
      <w:r w:rsidR="00CF5B30">
        <w:t>outcomes</w:t>
      </w:r>
      <w:r w:rsidR="00CF5B30">
        <w:rPr>
          <w:rStyle w:val="CommentReference"/>
          <w:rFonts w:asciiTheme="minorHAnsi" w:eastAsiaTheme="minorHAnsi" w:hAnsiTheme="minorHAnsi" w:cstheme="minorBidi"/>
          <w:kern w:val="0"/>
          <w:lang w:val="en-AU" w:eastAsia="en-US"/>
        </w:rPr>
        <w:t xml:space="preserve"> </w:t>
      </w:r>
      <w:r w:rsidR="00CF5B30">
        <w:t xml:space="preserve">for </w:t>
      </w:r>
      <w:proofErr w:type="gramStart"/>
      <w:r w:rsidR="00CF5B30">
        <w:t>youth</w:t>
      </w:r>
      <w:proofErr w:type="gramEnd"/>
    </w:p>
    <w:p w14:paraId="1E93A5B2" w14:textId="77777777" w:rsidR="000C751B" w:rsidRPr="00C14D55" w:rsidRDefault="000C751B" w:rsidP="00BD6117">
      <w:pPr>
        <w:pStyle w:val="VCAAbullet"/>
      </w:pPr>
      <w:r w:rsidRPr="00C14D55">
        <w:t xml:space="preserve">evaluate the effectiveness of food selection models and other initiatives in the promotion of healthy eating among </w:t>
      </w:r>
      <w:proofErr w:type="gramStart"/>
      <w:r w:rsidRPr="00C14D55">
        <w:t>youth</w:t>
      </w:r>
      <w:proofErr w:type="gramEnd"/>
    </w:p>
    <w:p w14:paraId="21486393" w14:textId="77777777" w:rsidR="000C751B" w:rsidRPr="00C14D55" w:rsidRDefault="000C751B" w:rsidP="00BD6117">
      <w:pPr>
        <w:pStyle w:val="VCAAbullet"/>
      </w:pPr>
      <w:r w:rsidRPr="00C14D55">
        <w:t xml:space="preserve">evaluate the validity of food and nutrition information from a variety of </w:t>
      </w:r>
      <w:proofErr w:type="gramStart"/>
      <w:r w:rsidRPr="00C14D55">
        <w:t>sources</w:t>
      </w:r>
      <w:proofErr w:type="gramEnd"/>
    </w:p>
    <w:p w14:paraId="1109973F" w14:textId="369A0844" w:rsidR="00422E3D" w:rsidRPr="00310CA3" w:rsidRDefault="000C751B" w:rsidP="00BD6117">
      <w:pPr>
        <w:pStyle w:val="VCAAbullet"/>
        <w:rPr>
          <w:sz w:val="18"/>
        </w:rPr>
      </w:pPr>
      <w:r w:rsidRPr="00C14D55">
        <w:t xml:space="preserve">analyse </w:t>
      </w:r>
      <w:r w:rsidR="00310CA3">
        <w:t xml:space="preserve">sociocultural </w:t>
      </w:r>
      <w:r w:rsidRPr="00C14D55">
        <w:t>factors that contribute to healthy eating among youth</w:t>
      </w:r>
      <w:r w:rsidR="00310CA3">
        <w:rPr>
          <w:sz w:val="18"/>
        </w:rPr>
        <w:t xml:space="preserve"> </w:t>
      </w:r>
      <w:r w:rsidRPr="00310CA3">
        <w:t>and their potential impact on health behaviours and health outcomes</w:t>
      </w:r>
      <w:r w:rsidR="00A20443">
        <w:t>.</w:t>
      </w:r>
    </w:p>
    <w:p w14:paraId="79F176B0" w14:textId="77777777" w:rsidR="00422E3D" w:rsidRPr="00C14D55" w:rsidRDefault="00422E3D">
      <w:pPr>
        <w:rPr>
          <w:rFonts w:ascii="Arial" w:eastAsia="Times New Roman" w:hAnsi="Arial" w:cs="Arial"/>
          <w:color w:val="000000" w:themeColor="text1"/>
          <w:kern w:val="22"/>
          <w:sz w:val="20"/>
          <w:lang w:eastAsia="ja-JP"/>
        </w:rPr>
      </w:pPr>
      <w:r w:rsidRPr="00C14D55">
        <w:br w:type="page"/>
      </w:r>
    </w:p>
    <w:p w14:paraId="37FC0342" w14:textId="77777777" w:rsidR="000C751B" w:rsidRPr="00C14D55" w:rsidRDefault="000C751B" w:rsidP="00422E3D">
      <w:pPr>
        <w:pStyle w:val="VCAAHeading2"/>
        <w:rPr>
          <w:lang w:val="en-AU"/>
        </w:rPr>
      </w:pPr>
      <w:bookmarkStart w:id="87" w:name="_Toc159241263"/>
      <w:r w:rsidRPr="00C14D55">
        <w:rPr>
          <w:lang w:val="en-AU"/>
        </w:rPr>
        <w:lastRenderedPageBreak/>
        <w:t>Assessment</w:t>
      </w:r>
      <w:bookmarkEnd w:id="87"/>
    </w:p>
    <w:p w14:paraId="5A15DDBB" w14:textId="77777777" w:rsidR="000C751B" w:rsidRPr="00C14D55" w:rsidRDefault="000C751B" w:rsidP="00422E3D">
      <w:pPr>
        <w:pStyle w:val="VCAAbody"/>
        <w:rPr>
          <w:lang w:val="en-AU"/>
        </w:rPr>
      </w:pPr>
      <w:r w:rsidRPr="00C14D55">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3E83836" w14:textId="77777777" w:rsidR="000C751B" w:rsidRPr="00C14D55" w:rsidRDefault="000C751B" w:rsidP="00422E3D">
      <w:pPr>
        <w:pStyle w:val="VCAAbody"/>
        <w:rPr>
          <w:lang w:val="en-AU"/>
        </w:rPr>
      </w:pPr>
      <w:r w:rsidRPr="00C14D55">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4EC12AF6" w14:textId="77777777" w:rsidR="000C751B" w:rsidRPr="00C14D55" w:rsidRDefault="000C751B" w:rsidP="00422E3D">
      <w:pPr>
        <w:pStyle w:val="VCAAbody"/>
        <w:rPr>
          <w:lang w:val="en-AU"/>
        </w:rPr>
      </w:pPr>
      <w:r w:rsidRPr="00C14D55">
        <w:rPr>
          <w:lang w:val="en-AU"/>
        </w:rPr>
        <w:t xml:space="preserve">All assessments at Units 1 and 2 are </w:t>
      </w:r>
      <w:proofErr w:type="gramStart"/>
      <w:r w:rsidRPr="00C14D55">
        <w:rPr>
          <w:lang w:val="en-AU"/>
        </w:rPr>
        <w:t>school-based</w:t>
      </w:r>
      <w:proofErr w:type="gramEnd"/>
      <w:r w:rsidRPr="00C14D55">
        <w:rPr>
          <w:lang w:val="en-AU"/>
        </w:rPr>
        <w:t>. Procedures for assessment of levels of achievement in Units 1 and 2 are a matter for school decision.</w:t>
      </w:r>
    </w:p>
    <w:p w14:paraId="6399F3CF" w14:textId="64D58618" w:rsidR="000C751B" w:rsidRPr="00C14D55" w:rsidRDefault="000C751B" w:rsidP="00422E3D">
      <w:pPr>
        <w:pStyle w:val="VCAAbody"/>
        <w:rPr>
          <w:lang w:val="en-AU"/>
        </w:rPr>
      </w:pPr>
      <w:r w:rsidRPr="00C14D55">
        <w:rPr>
          <w:lang w:val="en-AU"/>
        </w:rPr>
        <w:t>For this unit</w:t>
      </w:r>
      <w:r w:rsidR="003D1095">
        <w:rPr>
          <w:lang w:val="en-AU"/>
        </w:rPr>
        <w:t>,</w:t>
      </w:r>
      <w:r w:rsidRPr="00C14D55">
        <w:rPr>
          <w:lang w:val="en-AU"/>
        </w:rPr>
        <w:t xml:space="preserve"> students are required to </w:t>
      </w:r>
      <w:r w:rsidR="003C4097" w:rsidRPr="00C14D55">
        <w:rPr>
          <w:lang w:val="en-AU"/>
        </w:rPr>
        <w:t>demonstrate three</w:t>
      </w:r>
      <w:r w:rsidRPr="00C14D55">
        <w:rPr>
          <w:lang w:val="en-AU"/>
        </w:rPr>
        <w:t xml:space="preserve"> outcomes. As a set</w:t>
      </w:r>
      <w:r w:rsidR="003D1095">
        <w:rPr>
          <w:lang w:val="en-AU"/>
        </w:rPr>
        <w:t>,</w:t>
      </w:r>
      <w:r w:rsidRPr="00C14D55">
        <w:rPr>
          <w:lang w:val="en-AU"/>
        </w:rPr>
        <w:t xml:space="preserve"> these outcomes encompass the areas of study in the unit.</w:t>
      </w:r>
    </w:p>
    <w:p w14:paraId="0DE6A27D" w14:textId="41718443" w:rsidR="00F17A9A" w:rsidRPr="00C14D55" w:rsidRDefault="002D25F7" w:rsidP="003C4097">
      <w:pPr>
        <w:pStyle w:val="VCAAbody"/>
      </w:pPr>
      <w:bookmarkStart w:id="88" w:name="_Hlk128295285"/>
      <w:r w:rsidRPr="00C14D55">
        <w:t>Suitable tasks for assessment in this unit may be selected from the following:</w:t>
      </w:r>
    </w:p>
    <w:p w14:paraId="4253B84A" w14:textId="55FD5418" w:rsidR="007556CB" w:rsidRPr="00C14D55" w:rsidRDefault="000C751B" w:rsidP="00BD6117">
      <w:pPr>
        <w:pStyle w:val="VCAAbullet"/>
      </w:pPr>
      <w:r w:rsidRPr="00C14D55">
        <w:t>a written report, such as a media analysis, a research</w:t>
      </w:r>
      <w:r w:rsidR="00515C09">
        <w:t xml:space="preserve"> investigation,</w:t>
      </w:r>
      <w:r w:rsidRPr="00C14D55">
        <w:t xml:space="preserve"> a blog</w:t>
      </w:r>
      <w:r w:rsidR="008D4145">
        <w:t xml:space="preserve"> </w:t>
      </w:r>
      <w:proofErr w:type="gramStart"/>
      <w:r w:rsidR="008D4145">
        <w:t>post</w:t>
      </w:r>
      <w:proofErr w:type="gramEnd"/>
      <w:r w:rsidRPr="00C14D55">
        <w:t xml:space="preserve"> or a case study analysis</w:t>
      </w:r>
    </w:p>
    <w:p w14:paraId="65025BDA" w14:textId="63C7E4A0" w:rsidR="00527249" w:rsidRPr="00C14D55" w:rsidRDefault="00527249" w:rsidP="00BD6117">
      <w:pPr>
        <w:pStyle w:val="VCAAbullet"/>
        <w:rPr>
          <w:sz w:val="18"/>
          <w:szCs w:val="18"/>
        </w:rPr>
      </w:pPr>
      <w:r w:rsidRPr="00C14D55">
        <w:t>a visual presentation</w:t>
      </w:r>
      <w:r w:rsidR="00D44631">
        <w:t>,</w:t>
      </w:r>
      <w:r w:rsidRPr="00C14D55">
        <w:t xml:space="preserve"> such as a graphic organiser, a concept/mind map, an annotated </w:t>
      </w:r>
      <w:proofErr w:type="gramStart"/>
      <w:r w:rsidRPr="00C14D55">
        <w:t>poster</w:t>
      </w:r>
      <w:proofErr w:type="gramEnd"/>
      <w:r w:rsidRPr="00C14D55">
        <w:t xml:space="preserve"> </w:t>
      </w:r>
      <w:r w:rsidR="00D44631">
        <w:t xml:space="preserve">or </w:t>
      </w:r>
      <w:r w:rsidRPr="00C14D55">
        <w:t xml:space="preserve">a digital presentation </w:t>
      </w:r>
    </w:p>
    <w:p w14:paraId="1CD12EC7" w14:textId="4ECF930C" w:rsidR="00527249" w:rsidRPr="00C14D55" w:rsidRDefault="00527249" w:rsidP="00BD6117">
      <w:pPr>
        <w:pStyle w:val="VCAAbullet"/>
      </w:pPr>
      <w:r w:rsidRPr="00C14D55">
        <w:t>an oral presentation, such as a debate or a podcast</w:t>
      </w:r>
    </w:p>
    <w:p w14:paraId="0490574B" w14:textId="77777777" w:rsidR="000C751B" w:rsidRPr="00C14D55" w:rsidRDefault="000C751B" w:rsidP="00BD6117">
      <w:pPr>
        <w:pStyle w:val="VCAAbullet"/>
      </w:pPr>
      <w:r w:rsidRPr="00C14D55">
        <w:t>structured questions, including data analysis.</w:t>
      </w:r>
    </w:p>
    <w:p w14:paraId="30719550" w14:textId="737FB9B0" w:rsidR="000C751B" w:rsidRPr="00C14D55" w:rsidRDefault="000C751B" w:rsidP="00422E3D">
      <w:pPr>
        <w:pStyle w:val="VCAAbody"/>
        <w:rPr>
          <w:lang w:val="en-AU"/>
        </w:rPr>
      </w:pPr>
      <w:r w:rsidRPr="00C14D55">
        <w:rPr>
          <w:lang w:val="en-AU"/>
        </w:rPr>
        <w:t xml:space="preserve">Where teachers allow students to choose between </w:t>
      </w:r>
      <w:r w:rsidR="007A127D" w:rsidRPr="00C14D55">
        <w:rPr>
          <w:lang w:val="en-AU"/>
        </w:rPr>
        <w:t>tasks,</w:t>
      </w:r>
      <w:r w:rsidRPr="00C14D55">
        <w:rPr>
          <w:lang w:val="en-AU"/>
        </w:rPr>
        <w:t xml:space="preserve"> they must ensure that the tasks they set are of comparable scope and demand.</w:t>
      </w:r>
    </w:p>
    <w:bookmarkEnd w:id="88"/>
    <w:p w14:paraId="1079F954" w14:textId="77777777" w:rsidR="000C751B" w:rsidRPr="00C14D55" w:rsidRDefault="000C751B" w:rsidP="000C751B">
      <w:pPr>
        <w:rPr>
          <w:rFonts w:ascii="Arial" w:hAnsi="Arial" w:cs="Arial"/>
          <w:noProof/>
          <w:sz w:val="18"/>
          <w:szCs w:val="18"/>
        </w:rPr>
      </w:pPr>
      <w:r w:rsidRPr="00C14D55">
        <w:rPr>
          <w:rFonts w:ascii="Arial" w:hAnsi="Arial" w:cs="Arial"/>
          <w:noProof/>
          <w:sz w:val="18"/>
          <w:szCs w:val="18"/>
        </w:rPr>
        <w:br w:type="page"/>
      </w:r>
    </w:p>
    <w:p w14:paraId="0F6BA6C3" w14:textId="77777777" w:rsidR="00D637DB" w:rsidRDefault="00D637DB" w:rsidP="00422E3D">
      <w:pPr>
        <w:pStyle w:val="VCAAHeading1"/>
        <w:rPr>
          <w:lang w:val="en-AU"/>
        </w:rPr>
        <w:sectPr w:rsidR="00D637DB" w:rsidSect="00B96BEC">
          <w:headerReference w:type="default" r:id="rId36"/>
          <w:pgSz w:w="11907" w:h="16840" w:code="9"/>
          <w:pgMar w:top="1411" w:right="850" w:bottom="1440" w:left="1138" w:header="288" w:footer="288" w:gutter="0"/>
          <w:cols w:space="708"/>
          <w:docGrid w:linePitch="360"/>
        </w:sectPr>
      </w:pPr>
    </w:p>
    <w:p w14:paraId="325EC822" w14:textId="77777777" w:rsidR="000C751B" w:rsidRPr="00C14D55" w:rsidRDefault="000C751B" w:rsidP="00422E3D">
      <w:pPr>
        <w:pStyle w:val="VCAAHeading1"/>
        <w:rPr>
          <w:lang w:val="en-AU"/>
        </w:rPr>
      </w:pPr>
      <w:bookmarkStart w:id="89" w:name="_Toc159241264"/>
      <w:r w:rsidRPr="00C14D55">
        <w:rPr>
          <w:lang w:val="en-AU"/>
        </w:rPr>
        <w:lastRenderedPageBreak/>
        <w:t>Unit 2: Managing health and development</w:t>
      </w:r>
      <w:bookmarkEnd w:id="89"/>
    </w:p>
    <w:p w14:paraId="7930982A" w14:textId="54D7FFCF" w:rsidR="000C751B" w:rsidRPr="00C14D55" w:rsidRDefault="00D55337" w:rsidP="00422E3D">
      <w:pPr>
        <w:pStyle w:val="VCAAbody"/>
        <w:rPr>
          <w:lang w:val="en-AU" w:eastAsia="en-AU"/>
        </w:rPr>
      </w:pPr>
      <w:r>
        <w:rPr>
          <w:lang w:val="en-AU" w:eastAsia="en-AU"/>
        </w:rPr>
        <w:t>In t</w:t>
      </w:r>
      <w:r w:rsidR="000C751B" w:rsidRPr="00C14D55">
        <w:rPr>
          <w:lang w:val="en-AU" w:eastAsia="en-AU"/>
        </w:rPr>
        <w:t>his unit</w:t>
      </w:r>
      <w:r>
        <w:rPr>
          <w:lang w:val="en-AU" w:eastAsia="en-AU"/>
        </w:rPr>
        <w:t>, students</w:t>
      </w:r>
      <w:r w:rsidR="000C751B" w:rsidRPr="00C14D55">
        <w:rPr>
          <w:lang w:val="en-AU" w:eastAsia="en-AU"/>
        </w:rPr>
        <w:t xml:space="preserve"> investigate transitions in health and wellbeing, and </w:t>
      </w:r>
      <w:r w:rsidR="0059629B">
        <w:rPr>
          <w:lang w:val="en-AU" w:eastAsia="en-AU"/>
        </w:rPr>
        <w:t xml:space="preserve">human </w:t>
      </w:r>
      <w:r w:rsidR="000C751B" w:rsidRPr="00C14D55">
        <w:rPr>
          <w:lang w:val="en-AU" w:eastAsia="en-AU"/>
        </w:rPr>
        <w:t xml:space="preserve">development, from lifespan and societal perspectives. </w:t>
      </w:r>
      <w:r w:rsidR="000168F7">
        <w:rPr>
          <w:lang w:val="en-AU" w:eastAsia="en-AU"/>
        </w:rPr>
        <w:t>They</w:t>
      </w:r>
      <w:r w:rsidR="000168F7" w:rsidRPr="00C14D55">
        <w:rPr>
          <w:lang w:val="en-AU" w:eastAsia="en-AU"/>
        </w:rPr>
        <w:t xml:space="preserve"> </w:t>
      </w:r>
      <w:r w:rsidR="00936019">
        <w:rPr>
          <w:lang w:val="en-AU" w:eastAsia="en-AU"/>
        </w:rPr>
        <w:t>explore</w:t>
      </w:r>
      <w:r w:rsidR="00FE7C1E">
        <w:rPr>
          <w:lang w:val="en-AU" w:eastAsia="en-AU"/>
        </w:rPr>
        <w:t xml:space="preserve"> the</w:t>
      </w:r>
      <w:r w:rsidR="000C751B" w:rsidRPr="00C14D55">
        <w:rPr>
          <w:lang w:val="en-AU" w:eastAsia="en-AU"/>
        </w:rPr>
        <w:t xml:space="preserve"> changes and expectations that are </w:t>
      </w:r>
      <w:r w:rsidR="00EC6189">
        <w:rPr>
          <w:lang w:val="en-AU" w:eastAsia="en-AU"/>
        </w:rPr>
        <w:t>integral to</w:t>
      </w:r>
      <w:r w:rsidR="000C751B" w:rsidRPr="00C14D55">
        <w:rPr>
          <w:lang w:val="en-AU" w:eastAsia="en-AU"/>
        </w:rPr>
        <w:t xml:space="preserve"> the progression from youth to adulthood. </w:t>
      </w:r>
      <w:r w:rsidR="00C07DB0">
        <w:rPr>
          <w:lang w:val="en-AU" w:eastAsia="en-AU"/>
        </w:rPr>
        <w:t>Students</w:t>
      </w:r>
      <w:r w:rsidR="00936019">
        <w:rPr>
          <w:lang w:val="en-AU" w:eastAsia="en-AU"/>
        </w:rPr>
        <w:t xml:space="preserve"> apply</w:t>
      </w:r>
      <w:r w:rsidR="000C751B" w:rsidRPr="00C14D55">
        <w:rPr>
          <w:lang w:val="en-AU" w:eastAsia="en-AU"/>
        </w:rPr>
        <w:t xml:space="preserve"> health literacy skills through an examination of adulthood as a time of increasing independence and responsibility, involving the establishment of long-term relationships, possible considerations of parenthood and management of health-related milestones and changes. </w:t>
      </w:r>
    </w:p>
    <w:p w14:paraId="584A7EF7" w14:textId="72900505" w:rsidR="000C751B" w:rsidRPr="00C14D55" w:rsidRDefault="000C751B" w:rsidP="00CD4903">
      <w:pPr>
        <w:pStyle w:val="VCAAbody"/>
        <w:ind w:right="138"/>
        <w:rPr>
          <w:lang w:val="en-AU"/>
        </w:rPr>
      </w:pPr>
      <w:r w:rsidRPr="00C14D55">
        <w:rPr>
          <w:lang w:val="en-AU" w:eastAsia="en-AU"/>
        </w:rPr>
        <w:t>Students explore health literacy</w:t>
      </w:r>
      <w:r w:rsidR="002822BE" w:rsidRPr="002822BE">
        <w:rPr>
          <w:color w:val="FF0000"/>
          <w:lang w:val="en-AU" w:eastAsia="en-AU"/>
        </w:rPr>
        <w:t xml:space="preserve"> </w:t>
      </w:r>
      <w:r w:rsidR="002822BE" w:rsidRPr="00CF5B30">
        <w:rPr>
          <w:color w:val="auto"/>
          <w:lang w:val="en-AU" w:eastAsia="en-AU"/>
        </w:rPr>
        <w:t>through an</w:t>
      </w:r>
      <w:r w:rsidR="0062245E" w:rsidRPr="00CF5B30">
        <w:rPr>
          <w:color w:val="auto"/>
          <w:lang w:val="en-AU" w:eastAsia="en-AU"/>
        </w:rPr>
        <w:t xml:space="preserve"> investigat</w:t>
      </w:r>
      <w:r w:rsidR="002822BE" w:rsidRPr="00CF5B30">
        <w:rPr>
          <w:color w:val="auto"/>
          <w:lang w:val="en-AU" w:eastAsia="en-AU"/>
        </w:rPr>
        <w:t>ion of</w:t>
      </w:r>
      <w:r w:rsidRPr="00CF5B30">
        <w:rPr>
          <w:color w:val="auto"/>
          <w:lang w:val="en-AU" w:eastAsia="en-AU"/>
        </w:rPr>
        <w:t xml:space="preserve"> </w:t>
      </w:r>
      <w:r w:rsidRPr="00C14D55">
        <w:rPr>
          <w:lang w:val="en-AU" w:eastAsia="en-AU"/>
        </w:rPr>
        <w:t xml:space="preserve">the Australian healthcare system </w:t>
      </w:r>
      <w:r w:rsidRPr="00D75671">
        <w:rPr>
          <w:lang w:val="en-AU" w:eastAsia="en-AU"/>
        </w:rPr>
        <w:t xml:space="preserve">from the perspective of youth </w:t>
      </w:r>
      <w:r w:rsidRPr="00C14D55">
        <w:rPr>
          <w:lang w:val="en-AU" w:eastAsia="en-AU"/>
        </w:rPr>
        <w:t>and analys</w:t>
      </w:r>
      <w:r w:rsidR="002822BE">
        <w:rPr>
          <w:lang w:val="en-AU" w:eastAsia="en-AU"/>
        </w:rPr>
        <w:t>e</w:t>
      </w:r>
      <w:r w:rsidRPr="00C14D55">
        <w:rPr>
          <w:lang w:val="en-AU" w:eastAsia="en-AU"/>
        </w:rPr>
        <w:t xml:space="preserve"> health information. They investigate the challenges and opportunities presented by digital media and consider issues surrounding the use of health data and access to quality health</w:t>
      </w:r>
      <w:r w:rsidR="00592DB9">
        <w:rPr>
          <w:lang w:val="en-AU" w:eastAsia="en-AU"/>
        </w:rPr>
        <w:t xml:space="preserve"> </w:t>
      </w:r>
      <w:r w:rsidRPr="00C14D55">
        <w:rPr>
          <w:lang w:val="en-AU" w:eastAsia="en-AU"/>
        </w:rPr>
        <w:t>care.</w:t>
      </w:r>
    </w:p>
    <w:p w14:paraId="3CF59F60" w14:textId="77777777" w:rsidR="000C751B" w:rsidRPr="00C14D55" w:rsidRDefault="000C751B" w:rsidP="00422E3D">
      <w:pPr>
        <w:pStyle w:val="VCAAHeading2"/>
        <w:rPr>
          <w:lang w:val="en-AU"/>
        </w:rPr>
      </w:pPr>
      <w:bookmarkStart w:id="90" w:name="_Toc159241265"/>
      <w:r w:rsidRPr="00C14D55">
        <w:rPr>
          <w:lang w:val="en-AU"/>
        </w:rPr>
        <w:t>Area of Study 1</w:t>
      </w:r>
      <w:bookmarkEnd w:id="90"/>
    </w:p>
    <w:p w14:paraId="35EFF0F4" w14:textId="77777777" w:rsidR="000C751B" w:rsidRPr="00C14D55" w:rsidRDefault="000C751B" w:rsidP="00422E3D">
      <w:pPr>
        <w:pStyle w:val="VCAAHeading3"/>
        <w:rPr>
          <w:lang w:val="en-AU"/>
        </w:rPr>
      </w:pPr>
      <w:bookmarkStart w:id="91" w:name="_Toc130815900"/>
      <w:bookmarkStart w:id="92" w:name="_Toc159241266"/>
      <w:r w:rsidRPr="00C14D55">
        <w:rPr>
          <w:lang w:val="en-AU"/>
        </w:rPr>
        <w:t>Developmental transitions</w:t>
      </w:r>
      <w:bookmarkEnd w:id="91"/>
      <w:bookmarkEnd w:id="92"/>
    </w:p>
    <w:p w14:paraId="50FB9AA1" w14:textId="1A1D7BAB" w:rsidR="000C751B" w:rsidRPr="00C14D55" w:rsidRDefault="00D715D9" w:rsidP="00422E3D">
      <w:pPr>
        <w:pStyle w:val="VCAAbody"/>
        <w:rPr>
          <w:lang w:val="en-AU" w:eastAsia="en-AU"/>
        </w:rPr>
      </w:pPr>
      <w:r>
        <w:rPr>
          <w:szCs w:val="20"/>
          <w:lang w:val="en-AU"/>
        </w:rPr>
        <w:t>In t</w:t>
      </w:r>
      <w:r w:rsidR="000C751B" w:rsidRPr="00C14D55">
        <w:rPr>
          <w:szCs w:val="20"/>
          <w:lang w:val="en-AU"/>
        </w:rPr>
        <w:t>his area of study</w:t>
      </w:r>
      <w:r w:rsidR="00C07DB0">
        <w:rPr>
          <w:szCs w:val="20"/>
          <w:lang w:val="en-AU"/>
        </w:rPr>
        <w:t>,</w:t>
      </w:r>
      <w:r>
        <w:rPr>
          <w:szCs w:val="20"/>
          <w:lang w:val="en-AU"/>
        </w:rPr>
        <w:t xml:space="preserve"> students</w:t>
      </w:r>
      <w:r w:rsidR="000C751B" w:rsidRPr="00C14D55">
        <w:rPr>
          <w:szCs w:val="20"/>
          <w:lang w:val="en-AU"/>
        </w:rPr>
        <w:t xml:space="preserve"> </w:t>
      </w:r>
      <w:r w:rsidR="000C751B" w:rsidRPr="00C14D55">
        <w:rPr>
          <w:lang w:val="en-AU" w:eastAsia="en-AU"/>
        </w:rPr>
        <w:t xml:space="preserve">examine the developmental transitions from youth to adulthood, with a focus on expected changes, significant decisions, and protective factors including behaviours. </w:t>
      </w:r>
      <w:r w:rsidR="0025445B">
        <w:rPr>
          <w:lang w:val="en-AU" w:eastAsia="en-AU"/>
        </w:rPr>
        <w:t>They</w:t>
      </w:r>
      <w:r w:rsidR="0025445B" w:rsidRPr="00C14D55">
        <w:rPr>
          <w:lang w:val="en-AU" w:eastAsia="en-AU"/>
        </w:rPr>
        <w:t xml:space="preserve"> </w:t>
      </w:r>
      <w:r w:rsidR="000C751B" w:rsidRPr="00C14D55">
        <w:rPr>
          <w:lang w:val="en-AU" w:eastAsia="en-AU"/>
        </w:rPr>
        <w:t xml:space="preserve">consider perceptions of what it means to be a youth and an adult and investigate the expected physical and social changes. They </w:t>
      </w:r>
      <w:r w:rsidR="00A7657D">
        <w:rPr>
          <w:lang w:val="en-AU" w:eastAsia="en-AU"/>
        </w:rPr>
        <w:t>i</w:t>
      </w:r>
      <w:r w:rsidR="00D4379B" w:rsidRPr="00C14D55">
        <w:rPr>
          <w:lang w:val="en-AU" w:eastAsia="en-AU"/>
        </w:rPr>
        <w:t xml:space="preserve">nquire </w:t>
      </w:r>
      <w:r w:rsidR="000C751B" w:rsidRPr="00C14D55">
        <w:rPr>
          <w:lang w:val="en-AU" w:eastAsia="en-AU"/>
        </w:rPr>
        <w:t>into factors that influence both the transition from youth to adulthood and later health status. They consider the characteristics of respectful, healthy relationships. Students examine parenthood as a transition in life. With a focus on the influence of parents</w:t>
      </w:r>
      <w:r w:rsidR="00851EB2">
        <w:rPr>
          <w:lang w:val="en-AU" w:eastAsia="en-AU"/>
        </w:rPr>
        <w:t xml:space="preserve"> or </w:t>
      </w:r>
      <w:r w:rsidR="000C751B" w:rsidRPr="00C14D55">
        <w:rPr>
          <w:lang w:val="en-AU" w:eastAsia="en-AU"/>
        </w:rPr>
        <w:t>carers</w:t>
      </w:r>
      <w:r w:rsidR="00851EB2">
        <w:rPr>
          <w:lang w:val="en-AU" w:eastAsia="en-AU"/>
        </w:rPr>
        <w:t>,</w:t>
      </w:r>
      <w:r w:rsidR="000C751B" w:rsidRPr="00C14D55">
        <w:rPr>
          <w:lang w:val="en-AU" w:eastAsia="en-AU"/>
        </w:rPr>
        <w:t xml:space="preserve"> and families, </w:t>
      </w:r>
      <w:r w:rsidR="00C07DB0">
        <w:rPr>
          <w:lang w:val="en-AU" w:eastAsia="en-AU"/>
        </w:rPr>
        <w:t>they</w:t>
      </w:r>
      <w:r w:rsidR="00C07DB0" w:rsidRPr="00C14D55">
        <w:rPr>
          <w:lang w:val="en-AU" w:eastAsia="en-AU"/>
        </w:rPr>
        <w:t xml:space="preserve"> </w:t>
      </w:r>
      <w:r w:rsidR="000C751B" w:rsidRPr="00C14D55">
        <w:rPr>
          <w:lang w:val="en-AU" w:eastAsia="en-AU"/>
        </w:rPr>
        <w:t xml:space="preserve">investigate factors that contribute to development, </w:t>
      </w:r>
      <w:r w:rsidR="0025445B">
        <w:rPr>
          <w:lang w:val="en-AU" w:eastAsia="en-AU"/>
        </w:rPr>
        <w:t xml:space="preserve">and </w:t>
      </w:r>
      <w:r w:rsidR="000C751B" w:rsidRPr="00C14D55">
        <w:rPr>
          <w:lang w:val="en-AU" w:eastAsia="en-AU"/>
        </w:rPr>
        <w:t>health and wellbeing during the prenatal, infancy and early childhood stages of the</w:t>
      </w:r>
      <w:r w:rsidR="0062245E">
        <w:rPr>
          <w:lang w:val="en-AU" w:eastAsia="en-AU"/>
        </w:rPr>
        <w:t xml:space="preserve"> human</w:t>
      </w:r>
      <w:r w:rsidR="000C751B" w:rsidRPr="00C14D55">
        <w:rPr>
          <w:lang w:val="en-AU" w:eastAsia="en-AU"/>
        </w:rPr>
        <w:t xml:space="preserve"> lifespan. Health and wellbeing </w:t>
      </w:r>
      <w:proofErr w:type="gramStart"/>
      <w:r w:rsidR="000C751B" w:rsidRPr="00C14D55">
        <w:rPr>
          <w:lang w:val="en-AU" w:eastAsia="en-AU"/>
        </w:rPr>
        <w:t>is</w:t>
      </w:r>
      <w:proofErr w:type="gramEnd"/>
      <w:r w:rsidR="000C751B" w:rsidRPr="00C14D55">
        <w:rPr>
          <w:lang w:val="en-AU" w:eastAsia="en-AU"/>
        </w:rPr>
        <w:t xml:space="preserve"> considered as an intergenerational concept</w:t>
      </w:r>
      <w:r w:rsidR="0062245E">
        <w:rPr>
          <w:lang w:val="en-AU" w:eastAsia="en-AU"/>
        </w:rPr>
        <w:t xml:space="preserve">; </w:t>
      </w:r>
      <w:r w:rsidR="000C751B" w:rsidRPr="00C14D55">
        <w:rPr>
          <w:lang w:val="en-AU" w:eastAsia="en-AU"/>
        </w:rPr>
        <w:t>that is, the health and wellbeing of one generation affects the next.</w:t>
      </w:r>
    </w:p>
    <w:p w14:paraId="31BF7A3B" w14:textId="77777777" w:rsidR="000C751B" w:rsidRPr="00C14D55" w:rsidRDefault="000C751B" w:rsidP="00422E3D">
      <w:pPr>
        <w:pStyle w:val="VCAAHeading3"/>
        <w:rPr>
          <w:lang w:val="en-AU" w:eastAsia="en-AU"/>
        </w:rPr>
      </w:pPr>
      <w:bookmarkStart w:id="93" w:name="_Toc130815901"/>
      <w:bookmarkStart w:id="94" w:name="_Toc159241267"/>
      <w:r w:rsidRPr="00C14D55">
        <w:rPr>
          <w:lang w:val="en-AU" w:eastAsia="en-AU"/>
        </w:rPr>
        <w:t>Outcome 1</w:t>
      </w:r>
      <w:bookmarkEnd w:id="93"/>
      <w:bookmarkEnd w:id="94"/>
    </w:p>
    <w:p w14:paraId="19C0F869" w14:textId="46158143" w:rsidR="000C751B" w:rsidRPr="00C14D55" w:rsidRDefault="000C751B" w:rsidP="00422E3D">
      <w:pPr>
        <w:pStyle w:val="VCAAbody"/>
        <w:rPr>
          <w:lang w:val="en-AU" w:eastAsia="en-AU"/>
        </w:rPr>
      </w:pPr>
      <w:r w:rsidRPr="00C14D55">
        <w:rPr>
          <w:szCs w:val="20"/>
          <w:lang w:val="en-AU"/>
        </w:rPr>
        <w:t>On completion of this unit</w:t>
      </w:r>
      <w:r w:rsidR="00FF26A3">
        <w:rPr>
          <w:szCs w:val="20"/>
          <w:lang w:val="en-AU"/>
        </w:rPr>
        <w:t>,</w:t>
      </w:r>
      <w:r w:rsidRPr="00C14D55">
        <w:rPr>
          <w:szCs w:val="20"/>
          <w:lang w:val="en-AU"/>
        </w:rPr>
        <w:t xml:space="preserve"> the student should be able to </w:t>
      </w:r>
      <w:r w:rsidRPr="00C14D55">
        <w:rPr>
          <w:lang w:val="en-AU" w:eastAsia="en-AU"/>
        </w:rPr>
        <w:t xml:space="preserve">explain developmental changes in the transition from youth to adulthood, analyse factors that contribute to healthy development during </w:t>
      </w:r>
      <w:r w:rsidR="00022A2E">
        <w:rPr>
          <w:lang w:val="en-AU" w:eastAsia="en-AU"/>
        </w:rPr>
        <w:t xml:space="preserve">the </w:t>
      </w:r>
      <w:r w:rsidRPr="00C14D55">
        <w:rPr>
          <w:lang w:val="en-AU" w:eastAsia="en-AU"/>
        </w:rPr>
        <w:t>prenatal and early childhood stages of the</w:t>
      </w:r>
      <w:r w:rsidR="0062245E">
        <w:rPr>
          <w:lang w:val="en-AU" w:eastAsia="en-AU"/>
        </w:rPr>
        <w:t xml:space="preserve"> human</w:t>
      </w:r>
      <w:r w:rsidRPr="00C14D55">
        <w:rPr>
          <w:lang w:val="en-AU" w:eastAsia="en-AU"/>
        </w:rPr>
        <w:t xml:space="preserve"> lifespan and explain health and wellbeing as an intergenerational concept.</w:t>
      </w:r>
    </w:p>
    <w:p w14:paraId="6722D2B0" w14:textId="445AEE22" w:rsidR="000C751B" w:rsidRPr="00C14D55" w:rsidRDefault="000C751B" w:rsidP="00422E3D">
      <w:pPr>
        <w:pStyle w:val="VCAAbody"/>
        <w:rPr>
          <w:lang w:val="en-AU"/>
        </w:rPr>
      </w:pPr>
      <w:r w:rsidRPr="00C14D55">
        <w:rPr>
          <w:lang w:val="en-AU"/>
        </w:rPr>
        <w:t>To achieve this outcome</w:t>
      </w:r>
      <w:r w:rsidR="00FF26A3">
        <w:rPr>
          <w:lang w:val="en-AU"/>
        </w:rPr>
        <w:t>,</w:t>
      </w:r>
      <w:r w:rsidRPr="00C14D55">
        <w:rPr>
          <w:lang w:val="en-AU"/>
        </w:rPr>
        <w:t xml:space="preserve"> the student will draw on </w:t>
      </w:r>
      <w:r w:rsidR="00AE6F59">
        <w:rPr>
          <w:lang w:val="en-AU"/>
        </w:rPr>
        <w:t xml:space="preserve">the </w:t>
      </w:r>
      <w:r w:rsidRPr="00C14D55">
        <w:rPr>
          <w:lang w:val="en-AU"/>
        </w:rPr>
        <w:t>key knowledge and key skills outlined in Area of Study 1.</w:t>
      </w:r>
    </w:p>
    <w:p w14:paraId="3DF98E91" w14:textId="77777777" w:rsidR="000C751B" w:rsidRPr="00C14D55" w:rsidRDefault="000C751B" w:rsidP="00422E3D">
      <w:pPr>
        <w:pStyle w:val="VCAAHeading5"/>
        <w:rPr>
          <w:lang w:val="en-AU"/>
        </w:rPr>
      </w:pPr>
      <w:bookmarkStart w:id="95" w:name="_Hlk128900355"/>
      <w:r w:rsidRPr="00C14D55">
        <w:rPr>
          <w:lang w:val="en-AU"/>
        </w:rPr>
        <w:t>Key knowledge</w:t>
      </w:r>
    </w:p>
    <w:p w14:paraId="29DF2858" w14:textId="77777777" w:rsidR="000C751B" w:rsidRPr="00C14D55" w:rsidRDefault="000C751B" w:rsidP="00BD6117">
      <w:pPr>
        <w:pStyle w:val="VCAAbullet"/>
      </w:pPr>
      <w:r w:rsidRPr="00C14D55">
        <w:t>overview of the human lifespan</w:t>
      </w:r>
    </w:p>
    <w:p w14:paraId="711B7F5F" w14:textId="23101D26" w:rsidR="000C751B" w:rsidRPr="00C14D55" w:rsidRDefault="000C751B" w:rsidP="00BD6117">
      <w:pPr>
        <w:pStyle w:val="VCAAbullet"/>
      </w:pPr>
      <w:r w:rsidRPr="00C14D55">
        <w:t xml:space="preserve">perceptions of youth and adulthood as stages of the </w:t>
      </w:r>
      <w:r w:rsidR="005026ED">
        <w:t xml:space="preserve">human </w:t>
      </w:r>
      <w:r w:rsidRPr="00C14D55">
        <w:t>lifespan</w:t>
      </w:r>
    </w:p>
    <w:p w14:paraId="46F263AF" w14:textId="77777777" w:rsidR="000C751B" w:rsidRPr="00C14D55" w:rsidRDefault="000C751B" w:rsidP="00BD6117">
      <w:pPr>
        <w:pStyle w:val="VCAAbullet"/>
      </w:pPr>
      <w:r w:rsidRPr="00C14D55">
        <w:t xml:space="preserve">characteristics of development, including physical, social, </w:t>
      </w:r>
      <w:proofErr w:type="gramStart"/>
      <w:r w:rsidRPr="00C14D55">
        <w:t>emotional</w:t>
      </w:r>
      <w:proofErr w:type="gramEnd"/>
      <w:r w:rsidRPr="00C14D55">
        <w:t xml:space="preserve"> and intellectual</w:t>
      </w:r>
    </w:p>
    <w:p w14:paraId="5BE71A4C" w14:textId="77777777" w:rsidR="000C751B" w:rsidRPr="00C14D55" w:rsidRDefault="000C751B" w:rsidP="00BD6117">
      <w:pPr>
        <w:pStyle w:val="VCAAbullet"/>
      </w:pPr>
      <w:r w:rsidRPr="00C14D55">
        <w:t>developmental transitions from youth to adulthood</w:t>
      </w:r>
    </w:p>
    <w:p w14:paraId="4BE8BAC3" w14:textId="496EC5A2" w:rsidR="000C751B" w:rsidRPr="00C14D55" w:rsidRDefault="000C751B" w:rsidP="00BD6117">
      <w:pPr>
        <w:pStyle w:val="VCAAbullet"/>
      </w:pPr>
      <w:r w:rsidRPr="00C14D55">
        <w:t>key characteristics of healthy and respectful relationships and the</w:t>
      </w:r>
      <w:r w:rsidR="0062245E">
        <w:t>ir</w:t>
      </w:r>
      <w:r w:rsidRPr="00C14D55">
        <w:t xml:space="preserve"> impact on health and wellbeing, and </w:t>
      </w:r>
      <w:r w:rsidR="00851EB2">
        <w:t xml:space="preserve">on </w:t>
      </w:r>
      <w:r w:rsidRPr="00C14D55">
        <w:t>development</w:t>
      </w:r>
    </w:p>
    <w:p w14:paraId="0C0E46C9" w14:textId="08395E97" w:rsidR="00286780" w:rsidRPr="00C14D55" w:rsidRDefault="000C751B" w:rsidP="00BD6117">
      <w:pPr>
        <w:pStyle w:val="VCAAbullet"/>
      </w:pPr>
      <w:r w:rsidRPr="00C14D55">
        <w:t xml:space="preserve">considerations </w:t>
      </w:r>
      <w:r w:rsidR="002A362B">
        <w:t xml:space="preserve">associated with </w:t>
      </w:r>
      <w:r w:rsidRPr="00C14D55">
        <w:t>becoming a parent</w:t>
      </w:r>
      <w:r w:rsidR="00FF26A3">
        <w:t>,</w:t>
      </w:r>
      <w:r w:rsidRPr="00C14D55">
        <w:t xml:space="preserve"> such as</w:t>
      </w:r>
      <w:r w:rsidR="00286780" w:rsidRPr="00C14D55">
        <w:t xml:space="preserve"> changes in</w:t>
      </w:r>
      <w:r w:rsidRPr="00C14D55">
        <w:t xml:space="preserve"> responsibilities</w:t>
      </w:r>
      <w:r w:rsidR="00FF26A3">
        <w:t xml:space="preserve"> and</w:t>
      </w:r>
      <w:r w:rsidR="00DE77D2">
        <w:t xml:space="preserve"> </w:t>
      </w:r>
      <w:r w:rsidR="00286780" w:rsidRPr="00C14D55">
        <w:t>relationships</w:t>
      </w:r>
      <w:r w:rsidR="00FF26A3">
        <w:t>,</w:t>
      </w:r>
      <w:r w:rsidR="00286780" w:rsidRPr="00C14D55">
        <w:t xml:space="preserve"> and additional </w:t>
      </w:r>
      <w:proofErr w:type="gramStart"/>
      <w:r w:rsidR="00286780" w:rsidRPr="00C14D55">
        <w:t>stressors</w:t>
      </w:r>
      <w:proofErr w:type="gramEnd"/>
      <w:r w:rsidR="00286780" w:rsidRPr="00C14D55">
        <w:t xml:space="preserve"> </w:t>
      </w:r>
    </w:p>
    <w:p w14:paraId="3A51ACEC" w14:textId="3B57F0CD" w:rsidR="000C751B" w:rsidRPr="00C14D55" w:rsidRDefault="000C751B" w:rsidP="00BD6117">
      <w:pPr>
        <w:pStyle w:val="VCAAbullet"/>
      </w:pPr>
      <w:r w:rsidRPr="00C14D55">
        <w:t>the availability of social and emotional support and resources</w:t>
      </w:r>
      <w:r w:rsidR="00286780" w:rsidRPr="00C14D55">
        <w:t xml:space="preserve"> for parents </w:t>
      </w:r>
    </w:p>
    <w:p w14:paraId="659A3BBB" w14:textId="77777777" w:rsidR="00422E3D" w:rsidRPr="00C14D55" w:rsidRDefault="00422E3D">
      <w:pPr>
        <w:rPr>
          <w:rFonts w:ascii="Arial" w:eastAsia="Times New Roman" w:hAnsi="Arial" w:cs="Arial"/>
          <w:color w:val="000000" w:themeColor="text1"/>
          <w:kern w:val="22"/>
          <w:sz w:val="20"/>
          <w:lang w:eastAsia="ja-JP"/>
        </w:rPr>
      </w:pPr>
      <w:r w:rsidRPr="00C14D55">
        <w:br w:type="page"/>
      </w:r>
    </w:p>
    <w:p w14:paraId="6A63AAA8" w14:textId="033D7C77" w:rsidR="000C751B" w:rsidRPr="00C14D55" w:rsidRDefault="000C751B" w:rsidP="00BD6117">
      <w:pPr>
        <w:pStyle w:val="VCAAbullet"/>
      </w:pPr>
      <w:r w:rsidRPr="00C14D55">
        <w:lastRenderedPageBreak/>
        <w:t xml:space="preserve">the role of parents, </w:t>
      </w:r>
      <w:proofErr w:type="gramStart"/>
      <w:r w:rsidRPr="00C14D55">
        <w:t>carers</w:t>
      </w:r>
      <w:proofErr w:type="gramEnd"/>
      <w:r w:rsidRPr="00C14D55">
        <w:t xml:space="preserve"> and the family environment in determining the optimal development of children</w:t>
      </w:r>
      <w:r w:rsidR="0062245E">
        <w:t>,</w:t>
      </w:r>
      <w:r w:rsidRPr="00C14D55">
        <w:t xml:space="preserve"> </w:t>
      </w:r>
      <w:r w:rsidR="0062245E">
        <w:t xml:space="preserve">by developing students’ </w:t>
      </w:r>
      <w:r w:rsidRPr="00C14D55">
        <w:t>understanding of:</w:t>
      </w:r>
    </w:p>
    <w:p w14:paraId="0C96CF78" w14:textId="77777777" w:rsidR="000C751B" w:rsidRPr="00C14D55" w:rsidRDefault="000C751B" w:rsidP="00BD6117">
      <w:pPr>
        <w:pStyle w:val="VCAAbulletlevel2"/>
        <w:rPr>
          <w:rFonts w:eastAsia="Arial"/>
        </w:rPr>
      </w:pPr>
      <w:r w:rsidRPr="00C14D55">
        <w:rPr>
          <w:rFonts w:eastAsia="Arial"/>
        </w:rPr>
        <w:t>fertilisation and the stages of prenatal development</w:t>
      </w:r>
    </w:p>
    <w:p w14:paraId="10A1D94E" w14:textId="0222673B" w:rsidR="000C751B" w:rsidRPr="00C14D55" w:rsidRDefault="000C751B" w:rsidP="00BD6117">
      <w:pPr>
        <w:pStyle w:val="VCAAbulletlevel2"/>
        <w:rPr>
          <w:rFonts w:eastAsia="Arial"/>
        </w:rPr>
      </w:pPr>
      <w:r w:rsidRPr="00C14D55">
        <w:rPr>
          <w:rFonts w:eastAsia="Arial"/>
        </w:rPr>
        <w:t>risk and protective factors related to prenatal development</w:t>
      </w:r>
      <w:r w:rsidR="00FB547E">
        <w:rPr>
          <w:rFonts w:eastAsia="Arial"/>
        </w:rPr>
        <w:t>,</w:t>
      </w:r>
      <w:r w:rsidRPr="00C14D55">
        <w:rPr>
          <w:rFonts w:eastAsia="Arial"/>
        </w:rPr>
        <w:t xml:space="preserve"> such as maternal diet and the effects of smoking and alcohol during </w:t>
      </w:r>
      <w:proofErr w:type="gramStart"/>
      <w:r w:rsidRPr="00C14D55">
        <w:rPr>
          <w:rFonts w:eastAsia="Arial"/>
        </w:rPr>
        <w:t>pregnancy</w:t>
      </w:r>
      <w:proofErr w:type="gramEnd"/>
    </w:p>
    <w:p w14:paraId="2C1A4D58" w14:textId="77777777" w:rsidR="000C751B" w:rsidRPr="00C14D55" w:rsidRDefault="000C751B" w:rsidP="00BD6117">
      <w:pPr>
        <w:pStyle w:val="VCAAbulletlevel2"/>
        <w:rPr>
          <w:rFonts w:eastAsia="Arial"/>
        </w:rPr>
      </w:pPr>
      <w:r w:rsidRPr="00C14D55">
        <w:rPr>
          <w:rFonts w:eastAsia="Arial"/>
        </w:rPr>
        <w:t xml:space="preserve">physical, social, </w:t>
      </w:r>
      <w:proofErr w:type="gramStart"/>
      <w:r w:rsidRPr="00C14D55">
        <w:rPr>
          <w:rFonts w:eastAsia="Arial"/>
        </w:rPr>
        <w:t>emotional</w:t>
      </w:r>
      <w:proofErr w:type="gramEnd"/>
      <w:r w:rsidRPr="00C14D55">
        <w:rPr>
          <w:rFonts w:eastAsia="Arial"/>
        </w:rPr>
        <w:t xml:space="preserve"> and intellectual development in infancy and early childhood </w:t>
      </w:r>
    </w:p>
    <w:p w14:paraId="0815F1CE" w14:textId="77777777" w:rsidR="000C751B" w:rsidRPr="00C14D55" w:rsidRDefault="000C751B" w:rsidP="00BD6117">
      <w:pPr>
        <w:pStyle w:val="VCAAbulletlevel2"/>
        <w:rPr>
          <w:rFonts w:eastAsia="Arial"/>
        </w:rPr>
      </w:pPr>
      <w:r w:rsidRPr="00C14D55">
        <w:rPr>
          <w:rFonts w:eastAsia="Arial"/>
        </w:rPr>
        <w:t>the impact of early life experiences on future health and development</w:t>
      </w:r>
    </w:p>
    <w:p w14:paraId="4CEA0E3A" w14:textId="502DD83A" w:rsidR="000C751B" w:rsidRPr="00C14D55" w:rsidRDefault="000C751B" w:rsidP="00BD6117">
      <w:pPr>
        <w:pStyle w:val="VCAAbullet"/>
      </w:pPr>
      <w:r w:rsidRPr="00C14D55">
        <w:t>the intergenerational nature of health and wellbeing</w:t>
      </w:r>
      <w:r w:rsidR="00CF12D3">
        <w:t>.</w:t>
      </w:r>
    </w:p>
    <w:bookmarkEnd w:id="95"/>
    <w:p w14:paraId="4A30AF38" w14:textId="77777777" w:rsidR="000C751B" w:rsidRPr="00C14D55" w:rsidRDefault="000C751B" w:rsidP="004F537B">
      <w:pPr>
        <w:pStyle w:val="VCAAHeading5"/>
        <w:spacing w:before="200"/>
        <w:rPr>
          <w:lang w:val="en-AU"/>
        </w:rPr>
      </w:pPr>
      <w:r w:rsidRPr="00C14D55">
        <w:rPr>
          <w:lang w:val="en-AU"/>
        </w:rPr>
        <w:t>Key skills</w:t>
      </w:r>
    </w:p>
    <w:p w14:paraId="48BEE39D" w14:textId="77777777" w:rsidR="000C751B" w:rsidRPr="00531050" w:rsidRDefault="000C751B" w:rsidP="00531050">
      <w:pPr>
        <w:pStyle w:val="VCAAbullet"/>
      </w:pPr>
      <w:r w:rsidRPr="00531050">
        <w:t xml:space="preserve">describe the stages of the human </w:t>
      </w:r>
      <w:proofErr w:type="gramStart"/>
      <w:r w:rsidRPr="00531050">
        <w:t>lifespan</w:t>
      </w:r>
      <w:proofErr w:type="gramEnd"/>
    </w:p>
    <w:p w14:paraId="5E2EE9EE" w14:textId="77777777" w:rsidR="000C751B" w:rsidRPr="00531050" w:rsidRDefault="000C751B" w:rsidP="00531050">
      <w:pPr>
        <w:pStyle w:val="VCAAbullet"/>
      </w:pPr>
      <w:r w:rsidRPr="00531050">
        <w:t xml:space="preserve">collect and analyse information to draw conclusions on perceptions of youth and </w:t>
      </w:r>
      <w:proofErr w:type="gramStart"/>
      <w:r w:rsidRPr="00531050">
        <w:t>adulthood</w:t>
      </w:r>
      <w:proofErr w:type="gramEnd"/>
    </w:p>
    <w:p w14:paraId="48D13EE1" w14:textId="77777777" w:rsidR="000C751B" w:rsidRPr="00531050" w:rsidRDefault="000C751B" w:rsidP="00531050">
      <w:pPr>
        <w:pStyle w:val="VCAAbullet"/>
      </w:pPr>
      <w:r w:rsidRPr="00531050">
        <w:t xml:space="preserve">describe the characteristics of physical, social, emotional and intellectual </w:t>
      </w:r>
      <w:proofErr w:type="gramStart"/>
      <w:r w:rsidRPr="00531050">
        <w:t>development</w:t>
      </w:r>
      <w:proofErr w:type="gramEnd"/>
    </w:p>
    <w:p w14:paraId="1E661B67" w14:textId="77777777" w:rsidR="000C751B" w:rsidRPr="00531050" w:rsidRDefault="000C751B" w:rsidP="00531050">
      <w:pPr>
        <w:pStyle w:val="VCAAbullet"/>
      </w:pPr>
      <w:r w:rsidRPr="00531050">
        <w:t xml:space="preserve">explain the developmental changes that characterise the transition from youth to </w:t>
      </w:r>
      <w:proofErr w:type="gramStart"/>
      <w:r w:rsidRPr="00531050">
        <w:t>adulthood</w:t>
      </w:r>
      <w:proofErr w:type="gramEnd"/>
    </w:p>
    <w:p w14:paraId="4E35F3D7" w14:textId="77777777" w:rsidR="000C751B" w:rsidRPr="00531050" w:rsidRDefault="000C751B" w:rsidP="00531050">
      <w:pPr>
        <w:pStyle w:val="VCAAbullet"/>
      </w:pPr>
      <w:r w:rsidRPr="00531050">
        <w:t xml:space="preserve">analyse the role of healthy and respectful relationships in the achievement of optimal health and </w:t>
      </w:r>
      <w:proofErr w:type="gramStart"/>
      <w:r w:rsidRPr="00531050">
        <w:t>wellbeing</w:t>
      </w:r>
      <w:proofErr w:type="gramEnd"/>
    </w:p>
    <w:p w14:paraId="06D86C81" w14:textId="77777777" w:rsidR="000C751B" w:rsidRPr="00531050" w:rsidRDefault="000C751B" w:rsidP="00531050">
      <w:pPr>
        <w:pStyle w:val="VCAAbullet"/>
      </w:pPr>
      <w:r w:rsidRPr="00531050">
        <w:t xml:space="preserve">analyse factors to be considered and resources required for the transition to </w:t>
      </w:r>
      <w:proofErr w:type="gramStart"/>
      <w:r w:rsidRPr="00531050">
        <w:t>parenthood</w:t>
      </w:r>
      <w:proofErr w:type="gramEnd"/>
    </w:p>
    <w:p w14:paraId="37C74BD5" w14:textId="65BCABC4" w:rsidR="000C751B" w:rsidRPr="00531050" w:rsidRDefault="000C751B" w:rsidP="00531050">
      <w:pPr>
        <w:pStyle w:val="VCAAbullet"/>
      </w:pPr>
      <w:r w:rsidRPr="00531050">
        <w:t>analyse factors that influence development during the prenatal and early childhood stages of the</w:t>
      </w:r>
      <w:r w:rsidR="0062245E" w:rsidRPr="00531050">
        <w:t xml:space="preserve"> human</w:t>
      </w:r>
      <w:r w:rsidRPr="00531050">
        <w:t xml:space="preserve"> </w:t>
      </w:r>
      <w:proofErr w:type="gramStart"/>
      <w:r w:rsidRPr="00531050">
        <w:t>lifespan</w:t>
      </w:r>
      <w:proofErr w:type="gramEnd"/>
    </w:p>
    <w:p w14:paraId="73B50258" w14:textId="4CC7A0D8" w:rsidR="000C751B" w:rsidRPr="00531050" w:rsidRDefault="000C751B" w:rsidP="00531050">
      <w:pPr>
        <w:pStyle w:val="VCAAbullet"/>
      </w:pPr>
      <w:r w:rsidRPr="00531050">
        <w:rPr>
          <w:rFonts w:eastAsia="Arial"/>
        </w:rPr>
        <w:t>explain health and wellbeing as an intergenerational concept</w:t>
      </w:r>
      <w:r w:rsidR="00ED100F" w:rsidRPr="00531050">
        <w:rPr>
          <w:rFonts w:eastAsia="Arial"/>
        </w:rPr>
        <w:t>.</w:t>
      </w:r>
    </w:p>
    <w:p w14:paraId="0227CD41" w14:textId="6ACDDFBF" w:rsidR="000C751B" w:rsidRPr="00C14D55" w:rsidRDefault="000C751B" w:rsidP="004F537B">
      <w:pPr>
        <w:pStyle w:val="VCAAHeading2"/>
        <w:rPr>
          <w:lang w:val="en-AU"/>
        </w:rPr>
      </w:pPr>
      <w:bookmarkStart w:id="96" w:name="_Toc159241268"/>
      <w:r w:rsidRPr="00C14D55">
        <w:rPr>
          <w:lang w:val="en-AU"/>
        </w:rPr>
        <w:t>Area of Study 2</w:t>
      </w:r>
      <w:bookmarkEnd w:id="96"/>
    </w:p>
    <w:p w14:paraId="4BF9DDA7" w14:textId="77777777" w:rsidR="000C751B" w:rsidRPr="00C14D55" w:rsidRDefault="000C751B" w:rsidP="004F537B">
      <w:pPr>
        <w:pStyle w:val="VCAAHeading3"/>
        <w:spacing w:before="240"/>
        <w:rPr>
          <w:lang w:val="en-AU"/>
        </w:rPr>
      </w:pPr>
      <w:bookmarkStart w:id="97" w:name="_Toc130815903"/>
      <w:bookmarkStart w:id="98" w:name="_Toc159241269"/>
      <w:r w:rsidRPr="00C14D55">
        <w:rPr>
          <w:lang w:val="en-AU"/>
        </w:rPr>
        <w:t>Youth health literacy</w:t>
      </w:r>
      <w:bookmarkEnd w:id="97"/>
      <w:bookmarkEnd w:id="98"/>
    </w:p>
    <w:p w14:paraId="4BB91B7F" w14:textId="208BC6FA" w:rsidR="000C751B" w:rsidRPr="00C14D55" w:rsidRDefault="0052194D" w:rsidP="004F537B">
      <w:pPr>
        <w:pStyle w:val="VCAAbody"/>
        <w:rPr>
          <w:strike/>
          <w:lang w:val="en-AU"/>
        </w:rPr>
      </w:pPr>
      <w:r>
        <w:rPr>
          <w:lang w:val="en-AU"/>
        </w:rPr>
        <w:t>In t</w:t>
      </w:r>
      <w:r w:rsidR="000C751B" w:rsidRPr="00C14D55">
        <w:rPr>
          <w:lang w:val="en-AU"/>
        </w:rPr>
        <w:t>his area of study</w:t>
      </w:r>
      <w:r>
        <w:rPr>
          <w:lang w:val="en-AU"/>
        </w:rPr>
        <w:t>, students</w:t>
      </w:r>
      <w:r w:rsidR="000C751B" w:rsidRPr="00C14D55">
        <w:rPr>
          <w:lang w:val="en-AU"/>
        </w:rPr>
        <w:t xml:space="preserve"> investigate the health system in Australia from </w:t>
      </w:r>
      <w:r w:rsidR="0079461E" w:rsidRPr="00C14D55">
        <w:rPr>
          <w:lang w:val="en-AU"/>
        </w:rPr>
        <w:t xml:space="preserve">the </w:t>
      </w:r>
      <w:r w:rsidR="000C751B" w:rsidRPr="00C14D55">
        <w:rPr>
          <w:lang w:val="en-AU"/>
        </w:rPr>
        <w:t xml:space="preserve">perspective of youth and their rights and responsibilities. </w:t>
      </w:r>
      <w:r w:rsidR="00767EBC">
        <w:rPr>
          <w:lang w:val="en-AU"/>
        </w:rPr>
        <w:t>They</w:t>
      </w:r>
      <w:r w:rsidR="00767EBC" w:rsidRPr="00C14D55">
        <w:rPr>
          <w:lang w:val="en-AU"/>
        </w:rPr>
        <w:t xml:space="preserve"> </w:t>
      </w:r>
      <w:r w:rsidR="000C751B" w:rsidRPr="00C14D55">
        <w:rPr>
          <w:lang w:val="en-AU"/>
        </w:rPr>
        <w:t xml:space="preserve">examine the functions of various entities that play a role in our health system. </w:t>
      </w:r>
      <w:r w:rsidR="00767EBC">
        <w:rPr>
          <w:lang w:val="en-AU"/>
        </w:rPr>
        <w:t>Students</w:t>
      </w:r>
      <w:r w:rsidR="00767EBC" w:rsidRPr="00C14D55">
        <w:rPr>
          <w:lang w:val="en-AU"/>
        </w:rPr>
        <w:t xml:space="preserve"> </w:t>
      </w:r>
      <w:r w:rsidR="00A7657D">
        <w:rPr>
          <w:lang w:val="en-AU"/>
        </w:rPr>
        <w:t>i</w:t>
      </w:r>
      <w:r w:rsidRPr="00C14D55">
        <w:rPr>
          <w:lang w:val="en-AU"/>
        </w:rPr>
        <w:t xml:space="preserve">nquire </w:t>
      </w:r>
      <w:r w:rsidR="000C751B" w:rsidRPr="00C14D55">
        <w:rPr>
          <w:lang w:val="en-AU"/>
        </w:rPr>
        <w:t>into equity of access to health services, as well as the rights and responsibilities of youth receiving</w:t>
      </w:r>
      <w:r w:rsidR="00710390">
        <w:rPr>
          <w:lang w:val="en-AU"/>
        </w:rPr>
        <w:t xml:space="preserve"> health</w:t>
      </w:r>
      <w:r w:rsidR="000C751B" w:rsidRPr="00C14D55">
        <w:rPr>
          <w:lang w:val="en-AU"/>
        </w:rPr>
        <w:t xml:space="preserve"> care. </w:t>
      </w:r>
      <w:r w:rsidR="00767EBC">
        <w:rPr>
          <w:lang w:val="en-AU"/>
        </w:rPr>
        <w:t>They</w:t>
      </w:r>
      <w:r w:rsidR="00767EBC" w:rsidRPr="00C14D55">
        <w:rPr>
          <w:lang w:val="en-AU"/>
        </w:rPr>
        <w:t xml:space="preserve"> </w:t>
      </w:r>
      <w:r w:rsidR="000C751B" w:rsidRPr="00C14D55">
        <w:rPr>
          <w:lang w:val="en-AU"/>
        </w:rPr>
        <w:t xml:space="preserve">research the range of health services in their communities and suggest </w:t>
      </w:r>
      <w:r w:rsidR="00710390">
        <w:rPr>
          <w:lang w:val="en-AU"/>
        </w:rPr>
        <w:t>ways of</w:t>
      </w:r>
      <w:r w:rsidR="000C751B" w:rsidRPr="00C14D55">
        <w:rPr>
          <w:lang w:val="en-AU"/>
        </w:rPr>
        <w:t xml:space="preserve"> </w:t>
      </w:r>
      <w:r w:rsidR="00710390" w:rsidRPr="00C14D55">
        <w:rPr>
          <w:lang w:val="en-AU"/>
        </w:rPr>
        <w:t>improv</w:t>
      </w:r>
      <w:r w:rsidR="00710390">
        <w:rPr>
          <w:lang w:val="en-AU"/>
        </w:rPr>
        <w:t>ing</w:t>
      </w:r>
      <w:r w:rsidR="00710390" w:rsidRPr="00C14D55">
        <w:rPr>
          <w:lang w:val="en-AU"/>
        </w:rPr>
        <w:t xml:space="preserve"> </w:t>
      </w:r>
      <w:r w:rsidR="006425F3">
        <w:rPr>
          <w:lang w:val="en-AU"/>
        </w:rPr>
        <w:t xml:space="preserve">the </w:t>
      </w:r>
      <w:r w:rsidR="000C751B" w:rsidRPr="00C14D55">
        <w:rPr>
          <w:lang w:val="en-AU"/>
        </w:rPr>
        <w:t xml:space="preserve">health literacy </w:t>
      </w:r>
      <w:r w:rsidR="00710390">
        <w:rPr>
          <w:lang w:val="en-AU"/>
        </w:rPr>
        <w:t xml:space="preserve">and </w:t>
      </w:r>
      <w:r w:rsidR="00710390" w:rsidRPr="00C14D55">
        <w:rPr>
          <w:lang w:val="en-AU"/>
        </w:rPr>
        <w:t xml:space="preserve">health outcomes </w:t>
      </w:r>
      <w:r w:rsidR="000C751B" w:rsidRPr="00C14D55">
        <w:rPr>
          <w:lang w:val="en-AU"/>
        </w:rPr>
        <w:t xml:space="preserve">of youth. </w:t>
      </w:r>
    </w:p>
    <w:p w14:paraId="75DC3CAF" w14:textId="77777777" w:rsidR="000C751B" w:rsidRPr="00C14D55" w:rsidRDefault="000C751B" w:rsidP="004F537B">
      <w:pPr>
        <w:pStyle w:val="VCAAHeading3"/>
        <w:spacing w:before="200"/>
        <w:rPr>
          <w:lang w:val="en-AU" w:eastAsia="en-AU"/>
        </w:rPr>
      </w:pPr>
      <w:bookmarkStart w:id="99" w:name="_Toc130815904"/>
      <w:bookmarkStart w:id="100" w:name="_Toc159241270"/>
      <w:r w:rsidRPr="00C14D55">
        <w:rPr>
          <w:lang w:val="en-AU" w:eastAsia="en-AU"/>
        </w:rPr>
        <w:t>Outcome 2</w:t>
      </w:r>
      <w:bookmarkEnd w:id="99"/>
      <w:bookmarkEnd w:id="100"/>
    </w:p>
    <w:p w14:paraId="583D8C6F" w14:textId="3278F7B4" w:rsidR="002822BE" w:rsidRPr="00CF5B30" w:rsidRDefault="002822BE" w:rsidP="004F537B">
      <w:pPr>
        <w:pStyle w:val="VCAAbody"/>
        <w:rPr>
          <w:color w:val="auto"/>
          <w:lang w:val="en-AU"/>
        </w:rPr>
      </w:pPr>
      <w:r w:rsidRPr="00CF5B30">
        <w:rPr>
          <w:color w:val="auto"/>
          <w:lang w:val="en-AU"/>
        </w:rPr>
        <w:t>On completion of this unit, the student should be able to explain factors affecting access to Australia’s health system that contribute to health literacy and promote the health and wellbeing of youth.</w:t>
      </w:r>
    </w:p>
    <w:p w14:paraId="3ACE4122" w14:textId="35E544AD" w:rsidR="000C751B" w:rsidRPr="00C14D55" w:rsidRDefault="000C751B" w:rsidP="004F537B">
      <w:pPr>
        <w:pStyle w:val="VCAAbody"/>
        <w:rPr>
          <w:lang w:val="en-AU"/>
        </w:rPr>
      </w:pPr>
      <w:r w:rsidRPr="00C14D55">
        <w:rPr>
          <w:lang w:val="en-AU"/>
        </w:rPr>
        <w:t>To achieve this outcome</w:t>
      </w:r>
      <w:r w:rsidR="00D367D1">
        <w:rPr>
          <w:lang w:val="en-AU"/>
        </w:rPr>
        <w:t>,</w:t>
      </w:r>
      <w:r w:rsidRPr="00C14D55">
        <w:rPr>
          <w:lang w:val="en-AU"/>
        </w:rPr>
        <w:t xml:space="preserve"> the student will draw on </w:t>
      </w:r>
      <w:r w:rsidR="00AE6F59">
        <w:rPr>
          <w:lang w:val="en-AU"/>
        </w:rPr>
        <w:t xml:space="preserve">the </w:t>
      </w:r>
      <w:r w:rsidRPr="00C14D55">
        <w:rPr>
          <w:lang w:val="en-AU"/>
        </w:rPr>
        <w:t>key knowledge and key skills outlined in Area of Study 2.</w:t>
      </w:r>
    </w:p>
    <w:p w14:paraId="15A59556" w14:textId="77777777" w:rsidR="000C751B" w:rsidRPr="00C14D55" w:rsidRDefault="000C751B" w:rsidP="004F537B">
      <w:pPr>
        <w:pStyle w:val="VCAAHeading5"/>
        <w:spacing w:before="200"/>
        <w:rPr>
          <w:lang w:val="en-AU"/>
        </w:rPr>
      </w:pPr>
      <w:r w:rsidRPr="00C14D55">
        <w:rPr>
          <w:lang w:val="en-AU"/>
        </w:rPr>
        <w:t>Key knowledge</w:t>
      </w:r>
    </w:p>
    <w:p w14:paraId="0C5ED1DF" w14:textId="4C88CDBF" w:rsidR="000C751B" w:rsidRPr="000547A0" w:rsidRDefault="000C751B" w:rsidP="00BD6117">
      <w:pPr>
        <w:pStyle w:val="VCAAbullet"/>
      </w:pPr>
      <w:r w:rsidRPr="000547A0">
        <w:t>key aspects of Australia’s health system used by youth</w:t>
      </w:r>
      <w:r w:rsidR="00154FD1">
        <w:t>,</w:t>
      </w:r>
      <w:r w:rsidRPr="000547A0">
        <w:t xml:space="preserve"> such as </w:t>
      </w:r>
      <w:r w:rsidR="00D367D1">
        <w:t>g</w:t>
      </w:r>
      <w:r w:rsidR="00D367D1" w:rsidRPr="000547A0">
        <w:t xml:space="preserve">eneral </w:t>
      </w:r>
      <w:r w:rsidR="00D367D1">
        <w:t>p</w:t>
      </w:r>
      <w:r w:rsidR="00D367D1" w:rsidRPr="000547A0">
        <w:t xml:space="preserve">ractitioners </w:t>
      </w:r>
      <w:r w:rsidRPr="000547A0">
        <w:t>(GPs), allied health services, alternative health services, Medicare</w:t>
      </w:r>
      <w:r w:rsidR="00575D6E">
        <w:t>,</w:t>
      </w:r>
      <w:r w:rsidRPr="000547A0">
        <w:t xml:space="preserve"> the Pharmaceutical Benefits Scheme</w:t>
      </w:r>
      <w:r w:rsidR="0079461E" w:rsidRPr="000547A0">
        <w:t xml:space="preserve"> (PBS)</w:t>
      </w:r>
      <w:r w:rsidR="00575D6E" w:rsidRPr="00575D6E">
        <w:t xml:space="preserve"> </w:t>
      </w:r>
      <w:r w:rsidR="00575D6E" w:rsidRPr="00C14D55">
        <w:t xml:space="preserve">and the National Disability Insurance Scheme (NDIS) </w:t>
      </w:r>
      <w:r w:rsidRPr="000547A0">
        <w:t xml:space="preserve"> </w:t>
      </w:r>
    </w:p>
    <w:p w14:paraId="2CA61262" w14:textId="4D198CF0" w:rsidR="000C751B" w:rsidRPr="000547A0" w:rsidRDefault="000C751B" w:rsidP="00BD6117">
      <w:pPr>
        <w:pStyle w:val="VCAAbullet"/>
      </w:pPr>
      <w:r w:rsidRPr="000547A0">
        <w:t xml:space="preserve">the range of services available in the local community to support </w:t>
      </w:r>
      <w:r w:rsidR="00F05C41">
        <w:t xml:space="preserve">the </w:t>
      </w:r>
      <w:r w:rsidRPr="000547A0">
        <w:t xml:space="preserve">physical, social, emotional, mental and spiritual dimensions of </w:t>
      </w:r>
      <w:r w:rsidR="00F05C41">
        <w:t xml:space="preserve">youth </w:t>
      </w:r>
      <w:r w:rsidRPr="000547A0">
        <w:t xml:space="preserve">health and </w:t>
      </w:r>
      <w:proofErr w:type="gramStart"/>
      <w:r w:rsidRPr="000547A0">
        <w:t>wellbeing</w:t>
      </w:r>
      <w:proofErr w:type="gramEnd"/>
    </w:p>
    <w:p w14:paraId="7A1C002E" w14:textId="757E7E5B" w:rsidR="000C751B" w:rsidRPr="000547A0" w:rsidRDefault="000C751B" w:rsidP="00BD6117">
      <w:pPr>
        <w:pStyle w:val="VCAAbullet"/>
      </w:pPr>
      <w:r w:rsidRPr="000547A0">
        <w:t>factors affecting youth</w:t>
      </w:r>
      <w:r w:rsidR="0079461E" w:rsidRPr="000547A0">
        <w:t>’s</w:t>
      </w:r>
      <w:r w:rsidRPr="000547A0">
        <w:t xml:space="preserve"> access to health services and </w:t>
      </w:r>
      <w:proofErr w:type="gramStart"/>
      <w:r w:rsidRPr="000547A0">
        <w:t>information</w:t>
      </w:r>
      <w:proofErr w:type="gramEnd"/>
    </w:p>
    <w:p w14:paraId="1F3FE8F6" w14:textId="03F196DE" w:rsidR="000C751B" w:rsidRPr="000547A0" w:rsidRDefault="000C751B" w:rsidP="00BD6117">
      <w:pPr>
        <w:pStyle w:val="VCAAbullet"/>
      </w:pPr>
      <w:r w:rsidRPr="000547A0">
        <w:t xml:space="preserve">rights and responsibilities associated with accessing health services, </w:t>
      </w:r>
      <w:r w:rsidR="00A756C9" w:rsidRPr="000547A0">
        <w:t xml:space="preserve">such as </w:t>
      </w:r>
      <w:r w:rsidRPr="000547A0">
        <w:t xml:space="preserve">privacy and confidentiality relating to the storage, use and sharing of personal health information and </w:t>
      </w:r>
      <w:proofErr w:type="gramStart"/>
      <w:r w:rsidRPr="000547A0">
        <w:t>data</w:t>
      </w:r>
      <w:proofErr w:type="gramEnd"/>
    </w:p>
    <w:p w14:paraId="71D8EFC5" w14:textId="00F86046" w:rsidR="000C751B" w:rsidRPr="000547A0" w:rsidRDefault="000C751B" w:rsidP="00BD6117">
      <w:pPr>
        <w:pStyle w:val="VCAAbullet"/>
      </w:pPr>
      <w:r w:rsidRPr="000547A0">
        <w:t xml:space="preserve">opportunities and challenges presented by digital media in the provision of youth health and wellbeing information, for example websites, online practitioners and digital health </w:t>
      </w:r>
      <w:proofErr w:type="gramStart"/>
      <w:r w:rsidRPr="000547A0">
        <w:t>apps</w:t>
      </w:r>
      <w:proofErr w:type="gramEnd"/>
    </w:p>
    <w:p w14:paraId="2A734092" w14:textId="108CF685" w:rsidR="000C751B" w:rsidRPr="000547A0" w:rsidRDefault="000C751B" w:rsidP="00BD6117">
      <w:pPr>
        <w:pStyle w:val="VCAAbullet"/>
      </w:pPr>
      <w:r w:rsidRPr="000547A0">
        <w:t>options for consumer complaint and redress within the health system</w:t>
      </w:r>
      <w:r w:rsidR="00A647DC">
        <w:t>.</w:t>
      </w:r>
    </w:p>
    <w:p w14:paraId="2280D903" w14:textId="77777777" w:rsidR="000C751B" w:rsidRPr="00C14D55" w:rsidRDefault="000C751B" w:rsidP="004F537B">
      <w:pPr>
        <w:pStyle w:val="VCAAHeading5"/>
        <w:rPr>
          <w:lang w:val="en-AU"/>
        </w:rPr>
      </w:pPr>
      <w:r w:rsidRPr="00C14D55">
        <w:rPr>
          <w:lang w:val="en-AU"/>
        </w:rPr>
        <w:lastRenderedPageBreak/>
        <w:t>Key skills</w:t>
      </w:r>
    </w:p>
    <w:p w14:paraId="441215DE" w14:textId="412E45C2" w:rsidR="000C751B" w:rsidRPr="00C14D55" w:rsidRDefault="000C751B" w:rsidP="00BD6117">
      <w:pPr>
        <w:pStyle w:val="VCAAbullet"/>
      </w:pPr>
      <w:r w:rsidRPr="00C14D55">
        <w:t>describe key aspects of the health system</w:t>
      </w:r>
      <w:r w:rsidR="003D0E8E" w:rsidRPr="00C14D55">
        <w:t xml:space="preserve"> and their impact on youth health literacy and health </w:t>
      </w:r>
      <w:proofErr w:type="gramStart"/>
      <w:r w:rsidR="003D0E8E" w:rsidRPr="00C14D55">
        <w:t>outcomes</w:t>
      </w:r>
      <w:proofErr w:type="gramEnd"/>
    </w:p>
    <w:p w14:paraId="04DDADF5" w14:textId="4F0FB9AA" w:rsidR="000C751B" w:rsidRPr="00C14D55" w:rsidRDefault="000C751B" w:rsidP="00BD6117">
      <w:pPr>
        <w:pStyle w:val="VCAAbullet"/>
      </w:pPr>
      <w:r w:rsidRPr="00C14D55">
        <w:t>research youth health services in the local community and explain which dimension</w:t>
      </w:r>
      <w:r w:rsidR="0079461E" w:rsidRPr="00C14D55">
        <w:t>(</w:t>
      </w:r>
      <w:r w:rsidRPr="00C14D55">
        <w:t>s</w:t>
      </w:r>
      <w:r w:rsidR="0079461E" w:rsidRPr="00C14D55">
        <w:t>)</w:t>
      </w:r>
      <w:r w:rsidRPr="00C14D55">
        <w:t xml:space="preserve"> of health each one </w:t>
      </w:r>
      <w:proofErr w:type="gramStart"/>
      <w:r w:rsidRPr="00C14D55">
        <w:t>supports</w:t>
      </w:r>
      <w:proofErr w:type="gramEnd"/>
    </w:p>
    <w:p w14:paraId="7388060B" w14:textId="73F4EEE1" w:rsidR="003D0E8E" w:rsidRPr="00C14D55" w:rsidRDefault="000C751B" w:rsidP="00BD6117">
      <w:pPr>
        <w:pStyle w:val="VCAAbullet"/>
        <w:rPr>
          <w:rFonts w:eastAsia="Arial"/>
          <w:color w:val="000000"/>
          <w:lang w:eastAsia="en-AU"/>
        </w:rPr>
      </w:pPr>
      <w:r w:rsidRPr="00C14D55">
        <w:t>identify and explain factors that affect</w:t>
      </w:r>
      <w:r w:rsidR="00F05C41">
        <w:t xml:space="preserve"> the ability of</w:t>
      </w:r>
      <w:r w:rsidRPr="00C14D55">
        <w:t xml:space="preserve"> </w:t>
      </w:r>
      <w:r w:rsidR="00F05C41">
        <w:t>youth</w:t>
      </w:r>
      <w:r w:rsidRPr="00C14D55">
        <w:t xml:space="preserve"> to access</w:t>
      </w:r>
      <w:r w:rsidR="003D0E8E" w:rsidRPr="00C14D55">
        <w:t xml:space="preserve"> health services and </w:t>
      </w:r>
      <w:proofErr w:type="gramStart"/>
      <w:r w:rsidR="003D0E8E" w:rsidRPr="00C14D55">
        <w:t>information</w:t>
      </w:r>
      <w:proofErr w:type="gramEnd"/>
    </w:p>
    <w:p w14:paraId="47674E58" w14:textId="0791EC02" w:rsidR="000C751B" w:rsidRPr="00C14D55" w:rsidRDefault="003D0E8E" w:rsidP="00BD6117">
      <w:pPr>
        <w:pStyle w:val="VCAAbullet"/>
        <w:rPr>
          <w:rFonts w:eastAsia="Arial"/>
          <w:color w:val="000000"/>
          <w:lang w:eastAsia="en-AU"/>
        </w:rPr>
      </w:pPr>
      <w:r w:rsidRPr="00C14D55">
        <w:t>critique</w:t>
      </w:r>
      <w:r w:rsidR="00286780" w:rsidRPr="00C14D55">
        <w:t xml:space="preserve"> </w:t>
      </w:r>
      <w:r w:rsidRPr="00C14D55">
        <w:t xml:space="preserve">sources of health </w:t>
      </w:r>
      <w:r w:rsidR="000C751B" w:rsidRPr="00C14D55">
        <w:t>information</w:t>
      </w:r>
      <w:r w:rsidRPr="00C14D55">
        <w:t xml:space="preserve"> and health services </w:t>
      </w:r>
    </w:p>
    <w:p w14:paraId="6135649A" w14:textId="77777777" w:rsidR="000C751B" w:rsidRPr="00C14D55" w:rsidRDefault="000C751B" w:rsidP="00BD6117">
      <w:pPr>
        <w:pStyle w:val="VCAAbullet"/>
        <w:rPr>
          <w:rFonts w:eastAsia="Arial"/>
          <w:color w:val="000000"/>
          <w:lang w:eastAsia="en-AU"/>
        </w:rPr>
      </w:pPr>
      <w:r w:rsidRPr="00C14D55">
        <w:t xml:space="preserve">discuss rights and responsibilities of access to health </w:t>
      </w:r>
      <w:proofErr w:type="gramStart"/>
      <w:r w:rsidRPr="00C14D55">
        <w:t>services</w:t>
      </w:r>
      <w:proofErr w:type="gramEnd"/>
      <w:r w:rsidRPr="00C14D55">
        <w:t xml:space="preserve"> </w:t>
      </w:r>
    </w:p>
    <w:p w14:paraId="58615198" w14:textId="02A2BD57" w:rsidR="000C751B" w:rsidRPr="00C14D55" w:rsidRDefault="000C751B" w:rsidP="00BD6117">
      <w:pPr>
        <w:pStyle w:val="VCAAbullet"/>
      </w:pPr>
      <w:r w:rsidRPr="00C14D55">
        <w:t>explain the options for consumer complaint and redress within the health system</w:t>
      </w:r>
      <w:r w:rsidR="00004AB7">
        <w:t>.</w:t>
      </w:r>
    </w:p>
    <w:p w14:paraId="28841268" w14:textId="7353ED7B" w:rsidR="000C751B" w:rsidRPr="00C14D55" w:rsidRDefault="000C751B" w:rsidP="004F537B">
      <w:pPr>
        <w:pStyle w:val="VCAAHeading2"/>
        <w:rPr>
          <w:lang w:val="en-AU"/>
        </w:rPr>
      </w:pPr>
      <w:bookmarkStart w:id="101" w:name="_Toc159241271"/>
      <w:r w:rsidRPr="00C14D55">
        <w:rPr>
          <w:lang w:val="en-AU"/>
        </w:rPr>
        <w:t>Assessment</w:t>
      </w:r>
      <w:bookmarkEnd w:id="101"/>
    </w:p>
    <w:p w14:paraId="6DC2DF9E" w14:textId="77777777" w:rsidR="000C751B" w:rsidRPr="00C14D55" w:rsidRDefault="000C751B" w:rsidP="004F537B">
      <w:pPr>
        <w:pStyle w:val="VCAAbody"/>
        <w:rPr>
          <w:lang w:val="en-AU"/>
        </w:rPr>
      </w:pPr>
      <w:r w:rsidRPr="00C14D55">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6809A74F" w14:textId="77777777" w:rsidR="000C751B" w:rsidRPr="00C14D55" w:rsidRDefault="000C751B" w:rsidP="004F537B">
      <w:pPr>
        <w:pStyle w:val="VCAAbody"/>
        <w:rPr>
          <w:lang w:val="en-AU"/>
        </w:rPr>
      </w:pPr>
      <w:r w:rsidRPr="00C14D55">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556465BA" w14:textId="77777777" w:rsidR="000C751B" w:rsidRPr="00C14D55" w:rsidRDefault="000C751B" w:rsidP="004F537B">
      <w:pPr>
        <w:pStyle w:val="VCAAbody"/>
        <w:rPr>
          <w:lang w:val="en-AU"/>
        </w:rPr>
      </w:pPr>
      <w:r w:rsidRPr="00C14D55">
        <w:rPr>
          <w:lang w:val="en-AU"/>
        </w:rPr>
        <w:t xml:space="preserve">All assessments at Units 1 and 2 are </w:t>
      </w:r>
      <w:proofErr w:type="gramStart"/>
      <w:r w:rsidRPr="00C14D55">
        <w:rPr>
          <w:lang w:val="en-AU"/>
        </w:rPr>
        <w:t>school-based</w:t>
      </w:r>
      <w:proofErr w:type="gramEnd"/>
      <w:r w:rsidRPr="00C14D55">
        <w:rPr>
          <w:lang w:val="en-AU"/>
        </w:rPr>
        <w:t>. Procedures for assessment of levels of achievement in Units 1 and 2 are a matter for school decision.</w:t>
      </w:r>
    </w:p>
    <w:p w14:paraId="079F7D38" w14:textId="3BB5B8CB" w:rsidR="000C751B" w:rsidRPr="00C14D55" w:rsidRDefault="000C751B" w:rsidP="004F537B">
      <w:pPr>
        <w:pStyle w:val="VCAAbody"/>
        <w:rPr>
          <w:lang w:val="en-AU"/>
        </w:rPr>
      </w:pPr>
      <w:r w:rsidRPr="00C14D55">
        <w:rPr>
          <w:lang w:val="en-AU"/>
        </w:rPr>
        <w:t>For this unit</w:t>
      </w:r>
      <w:r w:rsidR="00252972">
        <w:rPr>
          <w:lang w:val="en-AU"/>
        </w:rPr>
        <w:t>,</w:t>
      </w:r>
      <w:r w:rsidRPr="00C14D55">
        <w:rPr>
          <w:lang w:val="en-AU"/>
        </w:rPr>
        <w:t xml:space="preserve"> students are required to demonstrate two outcomes. As a set</w:t>
      </w:r>
      <w:r w:rsidR="00252972">
        <w:rPr>
          <w:lang w:val="en-AU"/>
        </w:rPr>
        <w:t>,</w:t>
      </w:r>
      <w:r w:rsidRPr="00C14D55">
        <w:rPr>
          <w:lang w:val="en-AU"/>
        </w:rPr>
        <w:t xml:space="preserve"> these outcomes encompass the areas of study in the unit.</w:t>
      </w:r>
    </w:p>
    <w:p w14:paraId="64CCAAAF" w14:textId="7768EB45" w:rsidR="00F17A9A" w:rsidRPr="00C14D55" w:rsidRDefault="002D25F7" w:rsidP="007C048A">
      <w:pPr>
        <w:pStyle w:val="VCAAbody"/>
      </w:pPr>
      <w:r w:rsidRPr="00C14D55">
        <w:t>Suitable tasks for assessment in this unit may be selected from the following:</w:t>
      </w:r>
    </w:p>
    <w:p w14:paraId="13EF70E0" w14:textId="1735E964" w:rsidR="000C751B" w:rsidRPr="00C14D55" w:rsidRDefault="000C751B" w:rsidP="00BD6117">
      <w:pPr>
        <w:pStyle w:val="VCAAbullet"/>
      </w:pPr>
      <w:r w:rsidRPr="00C14D55">
        <w:t xml:space="preserve">a written report, such as a media analysis, a research inquiry, a </w:t>
      </w:r>
      <w:proofErr w:type="gramStart"/>
      <w:r w:rsidRPr="00C14D55">
        <w:t>blog</w:t>
      </w:r>
      <w:proofErr w:type="gramEnd"/>
      <w:r w:rsidRPr="00C14D55">
        <w:t xml:space="preserve"> or a case study analysis </w:t>
      </w:r>
    </w:p>
    <w:p w14:paraId="569D970A" w14:textId="2CC6A3B2" w:rsidR="000C751B" w:rsidRPr="00C14D55" w:rsidRDefault="007556CB" w:rsidP="00BD6117">
      <w:pPr>
        <w:pStyle w:val="VCAAbullet"/>
      </w:pPr>
      <w:r w:rsidRPr="00C14D55">
        <w:t xml:space="preserve">an </w:t>
      </w:r>
      <w:r w:rsidR="000C751B" w:rsidRPr="00C14D55">
        <w:t>extended</w:t>
      </w:r>
      <w:r w:rsidR="00696558">
        <w:t xml:space="preserve"> </w:t>
      </w:r>
      <w:r w:rsidR="000C751B" w:rsidRPr="00C14D55">
        <w:t xml:space="preserve">response question analysing a range of data sources with an emphasis on annotating, synthesising and planning the </w:t>
      </w:r>
      <w:proofErr w:type="gramStart"/>
      <w:r w:rsidR="000C751B" w:rsidRPr="00C14D55">
        <w:t>response</w:t>
      </w:r>
      <w:proofErr w:type="gramEnd"/>
      <w:r w:rsidR="000C751B" w:rsidRPr="00C14D55">
        <w:t xml:space="preserve"> </w:t>
      </w:r>
    </w:p>
    <w:p w14:paraId="76B82DBA" w14:textId="77777777" w:rsidR="000C751B" w:rsidRPr="00C14D55" w:rsidRDefault="000C751B" w:rsidP="00BD6117">
      <w:pPr>
        <w:pStyle w:val="VCAAbullet"/>
        <w:rPr>
          <w:sz w:val="18"/>
          <w:szCs w:val="18"/>
        </w:rPr>
      </w:pPr>
      <w:r w:rsidRPr="00C14D55">
        <w:t xml:space="preserve">a visual presentation such as a graphic organiser, a concept/mind map, an annotated poster, a digital presentation </w:t>
      </w:r>
    </w:p>
    <w:p w14:paraId="12BF2345" w14:textId="193FDED1" w:rsidR="000C751B" w:rsidRPr="00C14D55" w:rsidRDefault="007556CB" w:rsidP="00BD6117">
      <w:pPr>
        <w:pStyle w:val="VCAAbullet"/>
      </w:pPr>
      <w:r w:rsidRPr="00C14D55">
        <w:t xml:space="preserve">an </w:t>
      </w:r>
      <w:r w:rsidR="000C751B" w:rsidRPr="00C14D55">
        <w:t>oral presentation, such as a debate or a podcast</w:t>
      </w:r>
    </w:p>
    <w:p w14:paraId="49B8DAB8" w14:textId="77777777" w:rsidR="000C751B" w:rsidRPr="00C14D55" w:rsidRDefault="000C751B" w:rsidP="00BD6117">
      <w:pPr>
        <w:pStyle w:val="VCAAbullet"/>
      </w:pPr>
      <w:r w:rsidRPr="00C14D55">
        <w:t>structured questions, including data analysis.</w:t>
      </w:r>
    </w:p>
    <w:p w14:paraId="53AB97B7" w14:textId="37DC3CF9" w:rsidR="000C751B" w:rsidRPr="00C14D55" w:rsidRDefault="000C751B" w:rsidP="004F537B">
      <w:pPr>
        <w:pStyle w:val="VCAAbody"/>
        <w:rPr>
          <w:lang w:val="en-AU"/>
        </w:rPr>
      </w:pPr>
      <w:r w:rsidRPr="00C14D55">
        <w:rPr>
          <w:lang w:val="en-AU"/>
        </w:rPr>
        <w:t xml:space="preserve">Where teachers allow students to choose between </w:t>
      </w:r>
      <w:r w:rsidR="007A127D" w:rsidRPr="00C14D55">
        <w:rPr>
          <w:lang w:val="en-AU"/>
        </w:rPr>
        <w:t>tasks,</w:t>
      </w:r>
      <w:r w:rsidRPr="00C14D55">
        <w:rPr>
          <w:lang w:val="en-AU"/>
        </w:rPr>
        <w:t xml:space="preserve"> they must ensure that the tasks they set are of comparable scope and demand.</w:t>
      </w:r>
    </w:p>
    <w:p w14:paraId="5803EA29" w14:textId="77777777" w:rsidR="000C751B" w:rsidRPr="00C14D55" w:rsidRDefault="000C751B" w:rsidP="000C751B">
      <w:r w:rsidRPr="00C14D55">
        <w:br w:type="page"/>
      </w:r>
    </w:p>
    <w:p w14:paraId="01D1342F" w14:textId="77777777" w:rsidR="00253788" w:rsidRDefault="00253788" w:rsidP="004F537B">
      <w:pPr>
        <w:pStyle w:val="VCAAHeading1"/>
        <w:rPr>
          <w:lang w:val="en-AU"/>
        </w:rPr>
        <w:sectPr w:rsidR="00253788" w:rsidSect="00B96BEC">
          <w:headerReference w:type="default" r:id="rId37"/>
          <w:pgSz w:w="11907" w:h="16840" w:code="9"/>
          <w:pgMar w:top="1411" w:right="850" w:bottom="1440" w:left="1138" w:header="288" w:footer="288" w:gutter="0"/>
          <w:cols w:space="708"/>
          <w:docGrid w:linePitch="360"/>
        </w:sectPr>
      </w:pPr>
      <w:bookmarkStart w:id="102" w:name="_Hlk128900763"/>
    </w:p>
    <w:p w14:paraId="293B0754" w14:textId="77777777" w:rsidR="000C751B" w:rsidRPr="00C14D55" w:rsidRDefault="000C751B" w:rsidP="004F537B">
      <w:pPr>
        <w:pStyle w:val="VCAAHeading1"/>
        <w:rPr>
          <w:lang w:val="en-AU"/>
        </w:rPr>
      </w:pPr>
      <w:bookmarkStart w:id="103" w:name="_Toc159241272"/>
      <w:r w:rsidRPr="00C14D55">
        <w:rPr>
          <w:lang w:val="en-AU"/>
        </w:rPr>
        <w:lastRenderedPageBreak/>
        <w:t>Unit 3: Australia’s health in a globalised world</w:t>
      </w:r>
      <w:bookmarkEnd w:id="103"/>
    </w:p>
    <w:p w14:paraId="0379616B" w14:textId="0FA7EB38" w:rsidR="00AA07DB" w:rsidRDefault="00C72B62" w:rsidP="004F537B">
      <w:pPr>
        <w:pStyle w:val="VCAAbody"/>
        <w:rPr>
          <w:lang w:val="en-AU" w:eastAsia="en-AU"/>
        </w:rPr>
      </w:pPr>
      <w:r>
        <w:rPr>
          <w:lang w:val="en-AU" w:eastAsia="en-AU"/>
        </w:rPr>
        <w:t>In t</w:t>
      </w:r>
      <w:r w:rsidR="000C751B" w:rsidRPr="00C14D55">
        <w:rPr>
          <w:lang w:val="en-AU" w:eastAsia="en-AU"/>
        </w:rPr>
        <w:t>his unit</w:t>
      </w:r>
      <w:r>
        <w:rPr>
          <w:lang w:val="en-AU" w:eastAsia="en-AU"/>
        </w:rPr>
        <w:t>, students</w:t>
      </w:r>
      <w:r w:rsidR="000C751B" w:rsidRPr="00C14D55">
        <w:rPr>
          <w:lang w:val="en-AU" w:eastAsia="en-AU"/>
        </w:rPr>
        <w:t xml:space="preserve"> </w:t>
      </w:r>
      <w:r w:rsidR="00C263D2">
        <w:rPr>
          <w:lang w:val="en-AU" w:eastAsia="en-AU"/>
        </w:rPr>
        <w:t>look at</w:t>
      </w:r>
      <w:r w:rsidR="000C751B" w:rsidRPr="00C14D55">
        <w:rPr>
          <w:lang w:val="en-AU" w:eastAsia="en-AU"/>
        </w:rPr>
        <w:t xml:space="preserve"> health</w:t>
      </w:r>
      <w:r w:rsidR="003E12A6">
        <w:rPr>
          <w:lang w:val="en-AU" w:eastAsia="en-AU"/>
        </w:rPr>
        <w:t xml:space="preserve"> and </w:t>
      </w:r>
      <w:r w:rsidR="000C751B" w:rsidRPr="00C14D55">
        <w:rPr>
          <w:lang w:val="en-AU" w:eastAsia="en-AU"/>
        </w:rPr>
        <w:t>wellbeing</w:t>
      </w:r>
      <w:r w:rsidR="003E12A6">
        <w:rPr>
          <w:lang w:val="en-AU" w:eastAsia="en-AU"/>
        </w:rPr>
        <w:t>,</w:t>
      </w:r>
      <w:r w:rsidR="000C751B" w:rsidRPr="00C14D55">
        <w:rPr>
          <w:lang w:val="en-AU" w:eastAsia="en-AU"/>
        </w:rPr>
        <w:t xml:space="preserve"> </w:t>
      </w:r>
      <w:proofErr w:type="gramStart"/>
      <w:r w:rsidR="002A362B">
        <w:rPr>
          <w:lang w:val="en-AU" w:eastAsia="en-AU"/>
        </w:rPr>
        <w:t>disease</w:t>
      </w:r>
      <w:proofErr w:type="gramEnd"/>
      <w:r w:rsidR="002A362B">
        <w:rPr>
          <w:lang w:val="en-AU" w:eastAsia="en-AU"/>
        </w:rPr>
        <w:t xml:space="preserve"> </w:t>
      </w:r>
      <w:r w:rsidR="000C751B" w:rsidRPr="00C14D55">
        <w:rPr>
          <w:lang w:val="en-AU" w:eastAsia="en-AU"/>
        </w:rPr>
        <w:t xml:space="preserve">and illness as </w:t>
      </w:r>
      <w:r w:rsidR="003E12A6">
        <w:rPr>
          <w:lang w:val="en-AU" w:eastAsia="en-AU"/>
        </w:rPr>
        <w:t xml:space="preserve">being </w:t>
      </w:r>
      <w:r w:rsidR="000C751B" w:rsidRPr="00C14D55">
        <w:rPr>
          <w:lang w:val="en-AU" w:eastAsia="en-AU"/>
        </w:rPr>
        <w:t xml:space="preserve">multidimensional, dynamic and subject to different interpretations and contexts. </w:t>
      </w:r>
      <w:r w:rsidR="00C263D2">
        <w:rPr>
          <w:lang w:val="en-AU" w:eastAsia="en-AU"/>
        </w:rPr>
        <w:t>They</w:t>
      </w:r>
      <w:r w:rsidR="000C751B" w:rsidRPr="00C14D55">
        <w:rPr>
          <w:lang w:val="en-AU" w:eastAsia="en-AU"/>
        </w:rPr>
        <w:t xml:space="preserve"> explore health and wellbeing as a global concept and take a broader approach to inquiry. </w:t>
      </w:r>
      <w:r w:rsidR="003E1F26">
        <w:rPr>
          <w:lang w:val="en-AU" w:eastAsia="en-AU"/>
        </w:rPr>
        <w:t>Students</w:t>
      </w:r>
      <w:r w:rsidR="000C751B" w:rsidRPr="00C14D55">
        <w:rPr>
          <w:lang w:val="en-AU" w:eastAsia="en-AU"/>
        </w:rPr>
        <w:t xml:space="preserve"> consider the benefits of optimal health and wellbeing and its importance as an individual and a collective </w:t>
      </w:r>
      <w:r w:rsidR="00E14442" w:rsidRPr="00C14D55">
        <w:rPr>
          <w:lang w:val="en-AU" w:eastAsia="en-AU"/>
        </w:rPr>
        <w:t>resource</w:t>
      </w:r>
      <w:r w:rsidR="0051235D">
        <w:rPr>
          <w:lang w:val="en-AU" w:eastAsia="en-AU"/>
        </w:rPr>
        <w:t>. They</w:t>
      </w:r>
      <w:r w:rsidR="000C751B" w:rsidRPr="00C14D55">
        <w:rPr>
          <w:lang w:val="en-AU" w:eastAsia="en-AU"/>
        </w:rPr>
        <w:t xml:space="preserve"> extend</w:t>
      </w:r>
      <w:r w:rsidR="003E1F26">
        <w:rPr>
          <w:lang w:val="en-AU" w:eastAsia="en-AU"/>
        </w:rPr>
        <w:t xml:space="preserve"> this</w:t>
      </w:r>
      <w:r w:rsidR="000C751B" w:rsidRPr="00C14D55">
        <w:rPr>
          <w:lang w:val="en-AU" w:eastAsia="en-AU"/>
        </w:rPr>
        <w:t xml:space="preserve"> to health as a universal right</w:t>
      </w:r>
      <w:r w:rsidR="003E1F26">
        <w:rPr>
          <w:lang w:val="en-AU" w:eastAsia="en-AU"/>
        </w:rPr>
        <w:t>,</w:t>
      </w:r>
      <w:r w:rsidR="000C751B" w:rsidRPr="00C14D55">
        <w:rPr>
          <w:lang w:val="en-AU" w:eastAsia="en-AU"/>
        </w:rPr>
        <w:t xml:space="preserve"> analys</w:t>
      </w:r>
      <w:r w:rsidR="003E1F26">
        <w:rPr>
          <w:lang w:val="en-AU" w:eastAsia="en-AU"/>
        </w:rPr>
        <w:t>ing</w:t>
      </w:r>
      <w:r w:rsidR="000C751B" w:rsidRPr="00C14D55">
        <w:rPr>
          <w:lang w:val="en-AU" w:eastAsia="en-AU"/>
        </w:rPr>
        <w:t xml:space="preserve"> and </w:t>
      </w:r>
      <w:r w:rsidR="003E1F26" w:rsidRPr="00C14D55">
        <w:rPr>
          <w:lang w:val="en-AU" w:eastAsia="en-AU"/>
        </w:rPr>
        <w:t>evaluat</w:t>
      </w:r>
      <w:r w:rsidR="003E1F26">
        <w:rPr>
          <w:lang w:val="en-AU" w:eastAsia="en-AU"/>
        </w:rPr>
        <w:t>ing</w:t>
      </w:r>
      <w:r w:rsidR="003E1F26" w:rsidRPr="00C14D55">
        <w:rPr>
          <w:lang w:val="en-AU" w:eastAsia="en-AU"/>
        </w:rPr>
        <w:t xml:space="preserve"> </w:t>
      </w:r>
      <w:r w:rsidR="000C751B" w:rsidRPr="00C14D55">
        <w:rPr>
          <w:lang w:val="en-AU" w:eastAsia="en-AU"/>
        </w:rPr>
        <w:t xml:space="preserve">variations in the health status of Australians. </w:t>
      </w:r>
    </w:p>
    <w:p w14:paraId="5894F296" w14:textId="0C5B2843" w:rsidR="000C751B" w:rsidRPr="00C14D55" w:rsidRDefault="003127CB" w:rsidP="004F537B">
      <w:pPr>
        <w:pStyle w:val="VCAAbody"/>
        <w:rPr>
          <w:lang w:val="en-AU" w:eastAsia="en-AU"/>
        </w:rPr>
      </w:pPr>
      <w:r>
        <w:rPr>
          <w:lang w:val="en-AU" w:eastAsia="en-AU"/>
        </w:rPr>
        <w:t>S</w:t>
      </w:r>
      <w:r w:rsidR="0013725E">
        <w:rPr>
          <w:lang w:val="en-AU" w:eastAsia="en-AU"/>
        </w:rPr>
        <w:t>tudents</w:t>
      </w:r>
      <w:r w:rsidR="000C751B" w:rsidRPr="00C14D55">
        <w:rPr>
          <w:lang w:val="en-AU" w:eastAsia="en-AU"/>
        </w:rPr>
        <w:t xml:space="preserve"> focus on health promotion and improvements in population health over time. </w:t>
      </w:r>
      <w:r w:rsidR="00D96A99">
        <w:rPr>
          <w:lang w:val="en-AU" w:eastAsia="en-AU"/>
        </w:rPr>
        <w:t xml:space="preserve">Through </w:t>
      </w:r>
      <w:r w:rsidR="00D96A99" w:rsidRPr="00C14D55">
        <w:rPr>
          <w:lang w:val="en-AU" w:eastAsia="en-AU"/>
        </w:rPr>
        <w:t>research</w:t>
      </w:r>
      <w:r w:rsidR="00D96A99">
        <w:rPr>
          <w:lang w:val="en-AU" w:eastAsia="en-AU"/>
        </w:rPr>
        <w:t xml:space="preserve">ing </w:t>
      </w:r>
      <w:r w:rsidR="00D96A99" w:rsidRPr="00C14D55">
        <w:rPr>
          <w:lang w:val="en-AU" w:eastAsia="en-AU"/>
        </w:rPr>
        <w:t>health improvements and evaluat</w:t>
      </w:r>
      <w:r w:rsidR="00D96A99">
        <w:rPr>
          <w:lang w:val="en-AU" w:eastAsia="en-AU"/>
        </w:rPr>
        <w:t>ing</w:t>
      </w:r>
      <w:r w:rsidR="00D96A99" w:rsidRPr="00C14D55">
        <w:rPr>
          <w:lang w:val="en-AU" w:eastAsia="en-AU"/>
        </w:rPr>
        <w:t xml:space="preserve"> successful programs</w:t>
      </w:r>
      <w:r w:rsidR="00D96A99">
        <w:rPr>
          <w:lang w:val="en-AU" w:eastAsia="en-AU"/>
        </w:rPr>
        <w:t xml:space="preserve">, </w:t>
      </w:r>
      <w:r w:rsidR="00353B07">
        <w:rPr>
          <w:lang w:val="en-AU" w:eastAsia="en-AU"/>
        </w:rPr>
        <w:t>they explore</w:t>
      </w:r>
      <w:r w:rsidR="00D96A99" w:rsidRPr="00C14D55" w:rsidDel="0013725E">
        <w:rPr>
          <w:lang w:val="en-AU" w:eastAsia="en-AU"/>
        </w:rPr>
        <w:t xml:space="preserve"> </w:t>
      </w:r>
      <w:r w:rsidR="000C751B" w:rsidRPr="00C14D55">
        <w:rPr>
          <w:lang w:val="en-AU" w:eastAsia="en-AU"/>
        </w:rPr>
        <w:t>various public health approaches and the interdependence of different models. While the emphasis is on the Australian health system, the progression of change in public health approaches should be seen within a global context.</w:t>
      </w:r>
    </w:p>
    <w:p w14:paraId="4A16B11D" w14:textId="77777777" w:rsidR="000C751B" w:rsidRPr="00C14D55" w:rsidRDefault="000C751B" w:rsidP="004F537B">
      <w:pPr>
        <w:pStyle w:val="VCAAHeading2"/>
        <w:rPr>
          <w:lang w:val="en-AU"/>
        </w:rPr>
      </w:pPr>
      <w:bookmarkStart w:id="104" w:name="_Toc159241273"/>
      <w:r w:rsidRPr="00C14D55">
        <w:rPr>
          <w:lang w:val="en-AU"/>
        </w:rPr>
        <w:t>Area of Study 1</w:t>
      </w:r>
      <w:bookmarkEnd w:id="104"/>
    </w:p>
    <w:p w14:paraId="7C74B2D1" w14:textId="77777777" w:rsidR="000C751B" w:rsidRPr="00C14D55" w:rsidRDefault="000C751B" w:rsidP="004F537B">
      <w:pPr>
        <w:pStyle w:val="VCAAHeading3"/>
        <w:rPr>
          <w:lang w:val="en-AU" w:eastAsia="en-AU"/>
        </w:rPr>
      </w:pPr>
      <w:bookmarkStart w:id="105" w:name="_Toc130815908"/>
      <w:bookmarkStart w:id="106" w:name="_Toc159241274"/>
      <w:r w:rsidRPr="00C14D55">
        <w:rPr>
          <w:lang w:val="en-AU" w:eastAsia="en-AU"/>
        </w:rPr>
        <w:t>Understanding health and wellbeing</w:t>
      </w:r>
      <w:bookmarkEnd w:id="105"/>
      <w:bookmarkEnd w:id="106"/>
    </w:p>
    <w:p w14:paraId="23FCE833" w14:textId="0D718175" w:rsidR="000C751B" w:rsidRPr="00C14D55" w:rsidRDefault="00CC0217" w:rsidP="004F537B">
      <w:pPr>
        <w:pStyle w:val="VCAAbody"/>
        <w:rPr>
          <w:lang w:val="en-AU" w:eastAsia="en-AU"/>
        </w:rPr>
      </w:pPr>
      <w:r>
        <w:rPr>
          <w:lang w:val="en-AU"/>
        </w:rPr>
        <w:t>In t</w:t>
      </w:r>
      <w:r w:rsidR="000C751B" w:rsidRPr="00C14D55">
        <w:rPr>
          <w:lang w:val="en-AU"/>
        </w:rPr>
        <w:t>his area of study</w:t>
      </w:r>
      <w:r>
        <w:rPr>
          <w:lang w:val="en-AU"/>
        </w:rPr>
        <w:t>, students</w:t>
      </w:r>
      <w:r w:rsidR="000C751B" w:rsidRPr="00C14D55">
        <w:rPr>
          <w:lang w:val="en-AU"/>
        </w:rPr>
        <w:t xml:space="preserve"> </w:t>
      </w:r>
      <w:r w:rsidR="000C751B" w:rsidRPr="00C14D55">
        <w:rPr>
          <w:lang w:val="en-AU" w:eastAsia="en-AU"/>
        </w:rPr>
        <w:t>explore health and wellbeing</w:t>
      </w:r>
      <w:r w:rsidR="003D1095">
        <w:rPr>
          <w:lang w:val="en-AU" w:eastAsia="en-AU"/>
        </w:rPr>
        <w:t>,</w:t>
      </w:r>
      <w:r w:rsidR="000C751B" w:rsidRPr="00C14D55">
        <w:rPr>
          <w:lang w:val="en-AU" w:eastAsia="en-AU"/>
        </w:rPr>
        <w:t xml:space="preserve"> and illness as complex, dynamic and subjective concepts. </w:t>
      </w:r>
      <w:r w:rsidR="00F20A0D">
        <w:rPr>
          <w:lang w:val="en-AU" w:eastAsia="en-AU"/>
        </w:rPr>
        <w:t>They</w:t>
      </w:r>
      <w:r w:rsidR="00F20A0D" w:rsidRPr="00C14D55">
        <w:rPr>
          <w:lang w:val="en-AU" w:eastAsia="en-AU"/>
        </w:rPr>
        <w:t xml:space="preserve"> </w:t>
      </w:r>
      <w:r w:rsidR="000C751B" w:rsidRPr="00C14D55">
        <w:rPr>
          <w:lang w:val="en-AU" w:eastAsia="en-AU"/>
        </w:rPr>
        <w:t>reflect on both the universality of public health goals and the increasing influence of global conditions on Australians. Students develop their understanding of the indicators used to measure and evaluate health status, and the factors that contribute to variations in health status between different groups.</w:t>
      </w:r>
    </w:p>
    <w:p w14:paraId="3864B223" w14:textId="77777777" w:rsidR="000C751B" w:rsidRPr="00C14D55" w:rsidRDefault="000C751B" w:rsidP="004F537B">
      <w:pPr>
        <w:pStyle w:val="VCAAHeading3"/>
        <w:rPr>
          <w:lang w:val="en-AU" w:eastAsia="en-AU"/>
        </w:rPr>
      </w:pPr>
      <w:bookmarkStart w:id="107" w:name="_Toc130815909"/>
      <w:bookmarkStart w:id="108" w:name="_Toc159241275"/>
      <w:r w:rsidRPr="00C14D55">
        <w:rPr>
          <w:lang w:val="en-AU" w:eastAsia="en-AU"/>
        </w:rPr>
        <w:t>Outcome 1</w:t>
      </w:r>
      <w:bookmarkEnd w:id="107"/>
      <w:bookmarkEnd w:id="108"/>
    </w:p>
    <w:p w14:paraId="0A12B8BE" w14:textId="7A520B70" w:rsidR="000C751B" w:rsidRPr="00C14D55" w:rsidRDefault="000C751B" w:rsidP="004F537B">
      <w:pPr>
        <w:pStyle w:val="VCAAbody"/>
        <w:rPr>
          <w:lang w:val="en-AU"/>
        </w:rPr>
      </w:pPr>
      <w:r w:rsidRPr="00C14D55">
        <w:rPr>
          <w:lang w:val="en-AU"/>
        </w:rPr>
        <w:t>On completion of this unit</w:t>
      </w:r>
      <w:r w:rsidR="0051235D">
        <w:rPr>
          <w:lang w:val="en-AU"/>
        </w:rPr>
        <w:t>,</w:t>
      </w:r>
      <w:r w:rsidRPr="00C14D55">
        <w:rPr>
          <w:lang w:val="en-AU"/>
        </w:rPr>
        <w:t xml:space="preserve"> the student should be able to </w:t>
      </w:r>
      <w:r w:rsidRPr="00C14D55">
        <w:rPr>
          <w:lang w:val="en-AU" w:eastAsia="en-AU"/>
        </w:rPr>
        <w:t>explain the complex, dynamic and global nature of health and wellbeing, interpret and apply Australia’s health status data</w:t>
      </w:r>
      <w:r w:rsidR="006425F3">
        <w:rPr>
          <w:lang w:val="en-AU" w:eastAsia="en-AU"/>
        </w:rPr>
        <w:t>,</w:t>
      </w:r>
      <w:r w:rsidRPr="00C14D55">
        <w:rPr>
          <w:lang w:val="en-AU" w:eastAsia="en-AU"/>
        </w:rPr>
        <w:t xml:space="preserve"> and analyse variations in health status.</w:t>
      </w:r>
    </w:p>
    <w:p w14:paraId="0B460434" w14:textId="2526088F" w:rsidR="000C751B" w:rsidRPr="00C14D55" w:rsidRDefault="000C751B" w:rsidP="004F537B">
      <w:pPr>
        <w:pStyle w:val="VCAAbody"/>
        <w:rPr>
          <w:lang w:val="en-AU"/>
        </w:rPr>
      </w:pPr>
      <w:r w:rsidRPr="00C14D55">
        <w:rPr>
          <w:lang w:val="en-AU"/>
        </w:rPr>
        <w:t>To achieve this outcome</w:t>
      </w:r>
      <w:r w:rsidR="0051235D">
        <w:rPr>
          <w:lang w:val="en-AU"/>
        </w:rPr>
        <w:t>,</w:t>
      </w:r>
      <w:r w:rsidRPr="00C14D55">
        <w:rPr>
          <w:lang w:val="en-AU"/>
        </w:rPr>
        <w:t xml:space="preserve"> the student will draw on </w:t>
      </w:r>
      <w:r w:rsidR="00AE6F59">
        <w:rPr>
          <w:lang w:val="en-AU"/>
        </w:rPr>
        <w:t xml:space="preserve">the </w:t>
      </w:r>
      <w:r w:rsidRPr="00C14D55">
        <w:rPr>
          <w:lang w:val="en-AU"/>
        </w:rPr>
        <w:t>key knowledge and key skills outlined in Area of Study 1.</w:t>
      </w:r>
    </w:p>
    <w:p w14:paraId="181BF4B1" w14:textId="77777777" w:rsidR="000C751B" w:rsidRPr="00C14D55" w:rsidRDefault="000C751B" w:rsidP="004F537B">
      <w:pPr>
        <w:pStyle w:val="VCAAHeading5"/>
        <w:rPr>
          <w:lang w:val="en-AU"/>
        </w:rPr>
      </w:pPr>
      <w:r w:rsidRPr="00C14D55">
        <w:rPr>
          <w:lang w:val="en-AU"/>
        </w:rPr>
        <w:t>Key knowledge</w:t>
      </w:r>
    </w:p>
    <w:p w14:paraId="0386EDD1" w14:textId="54297FA2" w:rsidR="000C751B" w:rsidRPr="00C14D55" w:rsidRDefault="000C751B" w:rsidP="00BD6117">
      <w:pPr>
        <w:pStyle w:val="VCAAbullet"/>
      </w:pPr>
      <w:r w:rsidRPr="00C14D55">
        <w:t xml:space="preserve">concepts of health and wellbeing (physical, social, emotional, </w:t>
      </w:r>
      <w:proofErr w:type="gramStart"/>
      <w:r w:rsidRPr="00C14D55">
        <w:t>mental</w:t>
      </w:r>
      <w:proofErr w:type="gramEnd"/>
      <w:r w:rsidRPr="00C14D55">
        <w:t xml:space="preserve"> and spiritual dimensions)</w:t>
      </w:r>
      <w:r w:rsidR="00226676" w:rsidRPr="00C14D55">
        <w:t xml:space="preserve">, </w:t>
      </w:r>
      <w:r w:rsidRPr="00C14D55">
        <w:t>illness, and the dynamic and subjective nature of these concepts</w:t>
      </w:r>
    </w:p>
    <w:p w14:paraId="6A5E1149" w14:textId="77777777" w:rsidR="000C751B" w:rsidRPr="00C14D55" w:rsidRDefault="000C751B" w:rsidP="00BD6117">
      <w:pPr>
        <w:pStyle w:val="VCAAbullet"/>
      </w:pPr>
      <w:r w:rsidRPr="00C14D55">
        <w:t xml:space="preserve">benefits of optimal health and wellbeing and its importance as a resource individually, </w:t>
      </w:r>
      <w:proofErr w:type="gramStart"/>
      <w:r w:rsidRPr="00C14D55">
        <w:t>nationally</w:t>
      </w:r>
      <w:proofErr w:type="gramEnd"/>
      <w:r w:rsidRPr="00C14D55">
        <w:t xml:space="preserve"> and globally</w:t>
      </w:r>
    </w:p>
    <w:p w14:paraId="42034E2D" w14:textId="77777777" w:rsidR="00A756C9" w:rsidRDefault="000C751B" w:rsidP="00BD6117">
      <w:pPr>
        <w:pStyle w:val="VCAAbullet"/>
      </w:pPr>
      <w:r w:rsidRPr="00C14D55">
        <w:t xml:space="preserve">indicators used to measure and understand health status: </w:t>
      </w:r>
    </w:p>
    <w:p w14:paraId="4077D9A6" w14:textId="59CCDFA6" w:rsidR="00A756C9" w:rsidRPr="00A42FD4" w:rsidRDefault="000C751B" w:rsidP="00BD6117">
      <w:pPr>
        <w:pStyle w:val="VCAAbulletlevel2"/>
      </w:pPr>
      <w:r w:rsidRPr="00A42FD4">
        <w:t xml:space="preserve">incidence </w:t>
      </w:r>
    </w:p>
    <w:p w14:paraId="27491E97" w14:textId="23ACC6BD" w:rsidR="00A756C9" w:rsidRPr="00A42FD4" w:rsidRDefault="000C751B" w:rsidP="00BD6117">
      <w:pPr>
        <w:pStyle w:val="VCAAbulletlevel2"/>
      </w:pPr>
      <w:r w:rsidRPr="00A42FD4">
        <w:t>prevalence</w:t>
      </w:r>
    </w:p>
    <w:p w14:paraId="072D3CD7" w14:textId="3650F58F" w:rsidR="00A756C9" w:rsidRPr="00A42FD4" w:rsidRDefault="000C751B" w:rsidP="00BD6117">
      <w:pPr>
        <w:pStyle w:val="VCAAbulletlevel2"/>
      </w:pPr>
      <w:r w:rsidRPr="00A42FD4">
        <w:t>morbidity</w:t>
      </w:r>
    </w:p>
    <w:p w14:paraId="634A78A2" w14:textId="5AE951EE" w:rsidR="00A756C9" w:rsidRPr="00280CF0" w:rsidRDefault="000C751B" w:rsidP="00BD6117">
      <w:pPr>
        <w:pStyle w:val="VCAAbulletlevel2"/>
      </w:pPr>
      <w:r w:rsidRPr="00280CF0">
        <w:t>burden of disease</w:t>
      </w:r>
    </w:p>
    <w:p w14:paraId="18574960" w14:textId="40004C23" w:rsidR="00A756C9" w:rsidRPr="00A42FD4" w:rsidRDefault="000C751B" w:rsidP="00BD6117">
      <w:pPr>
        <w:pStyle w:val="VCAAbulletlevel2"/>
      </w:pPr>
      <w:r w:rsidRPr="00A42FD4">
        <w:t>disability-adjusted life year</w:t>
      </w:r>
      <w:r w:rsidR="00DE77D2" w:rsidRPr="00A42FD4">
        <w:t xml:space="preserve"> </w:t>
      </w:r>
      <w:r w:rsidRPr="00A42FD4">
        <w:t>(DALY</w:t>
      </w:r>
      <w:r w:rsidR="00A756C9" w:rsidRPr="00A42FD4">
        <w:t>)</w:t>
      </w:r>
    </w:p>
    <w:p w14:paraId="2ECC48AD" w14:textId="4BF8A4A1" w:rsidR="00A756C9" w:rsidRPr="00A42FD4" w:rsidRDefault="00DE77D2" w:rsidP="00BD6117">
      <w:pPr>
        <w:pStyle w:val="VCAAbulletlevel2"/>
      </w:pPr>
      <w:r w:rsidRPr="00A42FD4">
        <w:t>years of life lost (Y</w:t>
      </w:r>
      <w:r w:rsidR="00215897" w:rsidRPr="00A42FD4">
        <w:t>LL</w:t>
      </w:r>
      <w:r w:rsidR="00A756C9" w:rsidRPr="00A42FD4">
        <w:t>)</w:t>
      </w:r>
    </w:p>
    <w:p w14:paraId="0477FD23" w14:textId="0894D6D2" w:rsidR="00A756C9" w:rsidRPr="00A42FD4" w:rsidRDefault="00DE77D2" w:rsidP="00BD6117">
      <w:pPr>
        <w:pStyle w:val="VCAAbulletlevel2"/>
      </w:pPr>
      <w:r w:rsidRPr="00A42FD4">
        <w:t>years lived with disability (</w:t>
      </w:r>
      <w:r w:rsidR="00215897" w:rsidRPr="00A42FD4">
        <w:t>YLD</w:t>
      </w:r>
      <w:r w:rsidR="00A756C9" w:rsidRPr="00A42FD4">
        <w:t>)</w:t>
      </w:r>
    </w:p>
    <w:p w14:paraId="67038E3D" w14:textId="5101E498" w:rsidR="00A756C9" w:rsidRPr="00A42FD4" w:rsidRDefault="000C751B" w:rsidP="00BD6117">
      <w:pPr>
        <w:pStyle w:val="VCAAbulletlevel2"/>
      </w:pPr>
      <w:r w:rsidRPr="00A42FD4">
        <w:t>life expectancy</w:t>
      </w:r>
    </w:p>
    <w:p w14:paraId="0BDA12CC" w14:textId="50AB7ECC" w:rsidR="00A756C9" w:rsidRPr="00A42FD4" w:rsidRDefault="000C751B" w:rsidP="00BD6117">
      <w:pPr>
        <w:pStyle w:val="VCAAbulletlevel2"/>
      </w:pPr>
      <w:r w:rsidRPr="00A42FD4">
        <w:t>health-adjusted life expectancy (HALE</w:t>
      </w:r>
      <w:r w:rsidR="00A756C9" w:rsidRPr="00A42FD4">
        <w:t>)</w:t>
      </w:r>
    </w:p>
    <w:p w14:paraId="0F07ED63" w14:textId="3E804DFB" w:rsidR="00466D2D" w:rsidRPr="00A42FD4" w:rsidRDefault="000C751B" w:rsidP="00BD6117">
      <w:pPr>
        <w:pStyle w:val="VCAAbulletlevel2"/>
      </w:pPr>
      <w:r w:rsidRPr="00A42FD4">
        <w:t xml:space="preserve">mortality (maternal, infant and under </w:t>
      </w:r>
      <w:r w:rsidR="00BD00D3">
        <w:t>five</w:t>
      </w:r>
      <w:r w:rsidRPr="00A42FD4">
        <w:t xml:space="preserve">) </w:t>
      </w:r>
    </w:p>
    <w:p w14:paraId="206DBFA0" w14:textId="23DB6812" w:rsidR="00466D2D" w:rsidRPr="00A42FD4" w:rsidRDefault="00466D2D" w:rsidP="00BD6117">
      <w:pPr>
        <w:pStyle w:val="VCAAbulletlevel2"/>
      </w:pPr>
      <w:r w:rsidRPr="00A42FD4">
        <w:t>self-assessed health status</w:t>
      </w:r>
    </w:p>
    <w:p w14:paraId="25E313E1" w14:textId="02457DF8" w:rsidR="000C751B" w:rsidRPr="00C14D55" w:rsidRDefault="00F96513" w:rsidP="00BD6117">
      <w:pPr>
        <w:pStyle w:val="VCAAbullet"/>
      </w:pPr>
      <w:r>
        <w:lastRenderedPageBreak/>
        <w:t>b</w:t>
      </w:r>
      <w:r w:rsidRPr="00C14D55">
        <w:t>iological</w:t>
      </w:r>
      <w:r w:rsidR="000C751B" w:rsidRPr="00C14D55">
        <w:t xml:space="preserve">, sociocultural and environmental factors that contribute to variations in health status between </w:t>
      </w:r>
      <w:r w:rsidR="007C048A">
        <w:t xml:space="preserve">population </w:t>
      </w:r>
      <w:proofErr w:type="gramStart"/>
      <w:r w:rsidR="000C751B" w:rsidRPr="00C14D55">
        <w:t>groups</w:t>
      </w:r>
      <w:proofErr w:type="gramEnd"/>
      <w:r w:rsidR="000C751B" w:rsidRPr="00C14D55">
        <w:t xml:space="preserve">  </w:t>
      </w:r>
    </w:p>
    <w:p w14:paraId="04FA710D" w14:textId="77777777" w:rsidR="00C85F80" w:rsidRDefault="000C751B" w:rsidP="00BD6117">
      <w:pPr>
        <w:pStyle w:val="VCAAbullet"/>
      </w:pPr>
      <w:r w:rsidRPr="00C14D55">
        <w:t>the contribution to Australia’s health status of</w:t>
      </w:r>
      <w:r w:rsidR="00C85F80">
        <w:t>:</w:t>
      </w:r>
      <w:r w:rsidRPr="00C14D55">
        <w:t xml:space="preserve"> </w:t>
      </w:r>
    </w:p>
    <w:p w14:paraId="7BD7E1EC" w14:textId="24FE7629" w:rsidR="00C85F80" w:rsidRDefault="000C751B" w:rsidP="00BD6117">
      <w:pPr>
        <w:pStyle w:val="VCAAbulletlevel2"/>
      </w:pPr>
      <w:r w:rsidRPr="00C14D55">
        <w:t xml:space="preserve">smoking and </w:t>
      </w:r>
      <w:r w:rsidRPr="00C14D55">
        <w:rPr>
          <w:shd w:val="clear" w:color="auto" w:fill="FFFFFF" w:themeFill="background1"/>
        </w:rPr>
        <w:t>vaping</w:t>
      </w:r>
      <w:r w:rsidRPr="00C14D55">
        <w:t xml:space="preserve"> </w:t>
      </w:r>
    </w:p>
    <w:p w14:paraId="72F21D77" w14:textId="50DD554C" w:rsidR="00C85F80" w:rsidRDefault="000C751B" w:rsidP="00BD6117">
      <w:pPr>
        <w:pStyle w:val="VCAAbulletlevel2"/>
      </w:pPr>
      <w:r w:rsidRPr="00C14D55">
        <w:t xml:space="preserve">alcohol </w:t>
      </w:r>
    </w:p>
    <w:p w14:paraId="26A91C29" w14:textId="1A32BBB5" w:rsidR="00E55AD6" w:rsidRDefault="000C751B" w:rsidP="00BD6117">
      <w:pPr>
        <w:pStyle w:val="VCAAbulletlevel2"/>
      </w:pPr>
      <w:r w:rsidRPr="00C14D55">
        <w:t xml:space="preserve">overweight and obesity </w:t>
      </w:r>
    </w:p>
    <w:p w14:paraId="137E7821" w14:textId="17225CA3" w:rsidR="00AD24D3" w:rsidRPr="00C14D55" w:rsidRDefault="00945A3B" w:rsidP="00BD6117">
      <w:pPr>
        <w:pStyle w:val="VCAAbulletlevel2"/>
      </w:pPr>
      <w:r>
        <w:t>nutritional imbalance</w:t>
      </w:r>
      <w:r w:rsidRPr="00C14D55">
        <w:t xml:space="preserve"> </w:t>
      </w:r>
      <w:r w:rsidR="000C751B" w:rsidRPr="00C14D55">
        <w:t xml:space="preserve">(under-consumption of fruit and vegetables, </w:t>
      </w:r>
      <w:r w:rsidR="003E12A6">
        <w:t xml:space="preserve">and </w:t>
      </w:r>
      <w:r w:rsidR="000C751B" w:rsidRPr="00C14D55">
        <w:t xml:space="preserve">dairy foods; high intake of fat, </w:t>
      </w:r>
      <w:proofErr w:type="gramStart"/>
      <w:r w:rsidR="000C751B" w:rsidRPr="00C14D55">
        <w:t>salt</w:t>
      </w:r>
      <w:proofErr w:type="gramEnd"/>
      <w:r w:rsidR="000C751B" w:rsidRPr="00C14D55">
        <w:t xml:space="preserve"> and sugar; low intake of fibre).</w:t>
      </w:r>
    </w:p>
    <w:bookmarkEnd w:id="102"/>
    <w:p w14:paraId="75D35836" w14:textId="77777777" w:rsidR="000C751B" w:rsidRPr="00C14D55" w:rsidRDefault="000C751B" w:rsidP="004F537B">
      <w:pPr>
        <w:pStyle w:val="VCAAHeading5"/>
        <w:rPr>
          <w:lang w:val="en-AU"/>
        </w:rPr>
      </w:pPr>
      <w:r w:rsidRPr="00C14D55">
        <w:rPr>
          <w:lang w:val="en-AU"/>
        </w:rPr>
        <w:t>Key skills</w:t>
      </w:r>
    </w:p>
    <w:p w14:paraId="47EC01BC" w14:textId="74647EC3" w:rsidR="000C751B" w:rsidRPr="00C14D55" w:rsidRDefault="000C751B" w:rsidP="00BD6117">
      <w:pPr>
        <w:pStyle w:val="VCAAbullet"/>
      </w:pPr>
      <w:r w:rsidRPr="00C14D55">
        <w:t>explain the dynamic and subjective nature of the concepts of health and wellbeing</w:t>
      </w:r>
      <w:r w:rsidR="00A21908">
        <w:t xml:space="preserve"> </w:t>
      </w:r>
      <w:r w:rsidRPr="00C14D55">
        <w:t xml:space="preserve">and </w:t>
      </w:r>
      <w:proofErr w:type="gramStart"/>
      <w:r w:rsidRPr="00C14D55">
        <w:t>illness</w:t>
      </w:r>
      <w:proofErr w:type="gramEnd"/>
    </w:p>
    <w:p w14:paraId="440B5559" w14:textId="77777777" w:rsidR="000C751B" w:rsidRPr="00C14D55" w:rsidRDefault="000C751B" w:rsidP="00BD6117">
      <w:pPr>
        <w:pStyle w:val="VCAAbullet"/>
      </w:pPr>
      <w:r w:rsidRPr="00C14D55">
        <w:t xml:space="preserve">describe the relationship between dimensions of health and </w:t>
      </w:r>
      <w:proofErr w:type="gramStart"/>
      <w:r w:rsidRPr="00C14D55">
        <w:t>wellbeing</w:t>
      </w:r>
      <w:proofErr w:type="gramEnd"/>
    </w:p>
    <w:p w14:paraId="01D61F30" w14:textId="77777777" w:rsidR="000C751B" w:rsidRPr="00C14D55" w:rsidRDefault="000C751B" w:rsidP="00BD6117">
      <w:pPr>
        <w:pStyle w:val="VCAAbullet"/>
      </w:pPr>
      <w:r w:rsidRPr="00C14D55">
        <w:t xml:space="preserve">explain the individual, national and global importance of health and wellbeing as a </w:t>
      </w:r>
      <w:proofErr w:type="gramStart"/>
      <w:r w:rsidRPr="00C14D55">
        <w:t>resource</w:t>
      </w:r>
      <w:proofErr w:type="gramEnd"/>
    </w:p>
    <w:p w14:paraId="0E771E7A" w14:textId="66FAB088" w:rsidR="000C751B" w:rsidRPr="00C14D55" w:rsidRDefault="00B93DAC" w:rsidP="00BD6117">
      <w:pPr>
        <w:pStyle w:val="VCAAbullet"/>
      </w:pPr>
      <w:r>
        <w:t xml:space="preserve">interpret </w:t>
      </w:r>
      <w:r w:rsidR="000C751B" w:rsidRPr="00C14D55">
        <w:t xml:space="preserve">and apply indicators used to measure health </w:t>
      </w:r>
      <w:proofErr w:type="gramStart"/>
      <w:r w:rsidR="000C751B" w:rsidRPr="00C14D55">
        <w:t>status</w:t>
      </w:r>
      <w:proofErr w:type="gramEnd"/>
    </w:p>
    <w:p w14:paraId="0AD8DDFB" w14:textId="77777777" w:rsidR="000C751B" w:rsidRPr="00C14D55" w:rsidRDefault="000C751B" w:rsidP="00BD6117">
      <w:pPr>
        <w:pStyle w:val="VCAAbullet"/>
      </w:pPr>
      <w:r w:rsidRPr="00C14D55">
        <w:t xml:space="preserve">use data to evaluate the health status of </w:t>
      </w:r>
      <w:proofErr w:type="gramStart"/>
      <w:r w:rsidRPr="00C14D55">
        <w:t>Australians</w:t>
      </w:r>
      <w:proofErr w:type="gramEnd"/>
    </w:p>
    <w:p w14:paraId="3CC89E61" w14:textId="173AD799" w:rsidR="000C751B" w:rsidRPr="00C14D55" w:rsidRDefault="000C751B" w:rsidP="00BD6117">
      <w:pPr>
        <w:pStyle w:val="VCAAbullet"/>
      </w:pPr>
      <w:r w:rsidRPr="00C14D55">
        <w:t xml:space="preserve">describe how examples of biological, sociocultural and environmental factors can influence health </w:t>
      </w:r>
      <w:proofErr w:type="gramStart"/>
      <w:r w:rsidRPr="00C14D55">
        <w:t>outcomes</w:t>
      </w:r>
      <w:proofErr w:type="gramEnd"/>
      <w:r w:rsidRPr="00C14D55">
        <w:t xml:space="preserve"> </w:t>
      </w:r>
    </w:p>
    <w:p w14:paraId="7770D1EA" w14:textId="2C67DB7E" w:rsidR="000C751B" w:rsidRPr="00C14D55" w:rsidRDefault="000C751B" w:rsidP="00BD6117">
      <w:pPr>
        <w:pStyle w:val="VCAAbullet"/>
      </w:pPr>
      <w:r w:rsidRPr="00C14D55">
        <w:t>analyse health information to explain how factors can contribute to variations in health status between population groups</w:t>
      </w:r>
      <w:r w:rsidR="00A61A00">
        <w:t>.</w:t>
      </w:r>
    </w:p>
    <w:p w14:paraId="3E3206AD" w14:textId="1DCC64BA" w:rsidR="000C751B" w:rsidRPr="00C14D55" w:rsidRDefault="000C751B" w:rsidP="004F537B">
      <w:pPr>
        <w:pStyle w:val="VCAAHeading2"/>
        <w:rPr>
          <w:lang w:val="en-AU"/>
        </w:rPr>
      </w:pPr>
      <w:bookmarkStart w:id="109" w:name="_Toc159241276"/>
      <w:r w:rsidRPr="00C14D55">
        <w:rPr>
          <w:lang w:val="en-AU"/>
        </w:rPr>
        <w:t>Area of Study 2</w:t>
      </w:r>
      <w:bookmarkEnd w:id="109"/>
    </w:p>
    <w:p w14:paraId="7921C0EA" w14:textId="3DBC18BE" w:rsidR="000C751B" w:rsidRPr="00C14D55" w:rsidRDefault="000C751B" w:rsidP="004F537B">
      <w:pPr>
        <w:pStyle w:val="VCAAHeading3"/>
        <w:rPr>
          <w:lang w:val="en-AU" w:eastAsia="en-AU"/>
        </w:rPr>
      </w:pPr>
      <w:bookmarkStart w:id="110" w:name="_Toc130815911"/>
      <w:bookmarkStart w:id="111" w:name="_Toc159241277"/>
      <w:r w:rsidRPr="00C14D55">
        <w:rPr>
          <w:lang w:val="en-AU" w:eastAsia="en-AU"/>
        </w:rPr>
        <w:t xml:space="preserve">Promoting health </w:t>
      </w:r>
      <w:bookmarkEnd w:id="110"/>
      <w:r w:rsidR="0045593B" w:rsidRPr="00C14D55">
        <w:rPr>
          <w:lang w:val="en-AU" w:eastAsia="en-AU"/>
        </w:rPr>
        <w:t>in Australia</w:t>
      </w:r>
      <w:bookmarkEnd w:id="111"/>
    </w:p>
    <w:p w14:paraId="1EF2C992" w14:textId="7F024FE6" w:rsidR="000C751B" w:rsidRPr="00C14D55" w:rsidRDefault="001448EB" w:rsidP="004F537B">
      <w:pPr>
        <w:pStyle w:val="VCAAbody"/>
        <w:rPr>
          <w:lang w:val="en-AU" w:eastAsia="en-AU"/>
        </w:rPr>
      </w:pPr>
      <w:r>
        <w:rPr>
          <w:szCs w:val="20"/>
          <w:lang w:val="en-AU"/>
        </w:rPr>
        <w:t>In t</w:t>
      </w:r>
      <w:r w:rsidR="000C751B" w:rsidRPr="00C14D55">
        <w:rPr>
          <w:szCs w:val="20"/>
          <w:lang w:val="en-AU"/>
        </w:rPr>
        <w:t>his area of study</w:t>
      </w:r>
      <w:r>
        <w:rPr>
          <w:szCs w:val="20"/>
          <w:lang w:val="en-AU"/>
        </w:rPr>
        <w:t>, students</w:t>
      </w:r>
      <w:r w:rsidR="000C751B" w:rsidRPr="00C14D55">
        <w:rPr>
          <w:szCs w:val="20"/>
          <w:lang w:val="en-AU"/>
        </w:rPr>
        <w:t xml:space="preserve"> </w:t>
      </w:r>
      <w:r w:rsidR="000C751B" w:rsidRPr="00C14D55">
        <w:rPr>
          <w:lang w:val="en-AU" w:eastAsia="en-AU"/>
        </w:rPr>
        <w:t xml:space="preserve">look at different approaches to public health over time, with an emphasis on changes and strategies that have succeeded in improving health </w:t>
      </w:r>
      <w:r w:rsidR="006F1994">
        <w:rPr>
          <w:lang w:val="en-AU" w:eastAsia="en-AU"/>
        </w:rPr>
        <w:t>outcomes</w:t>
      </w:r>
      <w:r w:rsidR="000C751B" w:rsidRPr="00C14D55">
        <w:rPr>
          <w:lang w:val="en-AU" w:eastAsia="en-AU"/>
        </w:rPr>
        <w:t xml:space="preserve">. </w:t>
      </w:r>
      <w:r w:rsidR="00371108">
        <w:rPr>
          <w:lang w:val="en-AU" w:eastAsia="en-AU"/>
        </w:rPr>
        <w:t>They</w:t>
      </w:r>
      <w:r w:rsidR="00371108" w:rsidRPr="00C14D55">
        <w:rPr>
          <w:lang w:val="en-AU" w:eastAsia="en-AU"/>
        </w:rPr>
        <w:t xml:space="preserve"> </w:t>
      </w:r>
      <w:r w:rsidR="000C751B" w:rsidRPr="00C14D55">
        <w:rPr>
          <w:lang w:val="en-AU" w:eastAsia="en-AU"/>
        </w:rPr>
        <w:t xml:space="preserve">examine the progression of public health in Australia since 1900, noting global changes and influences such as the Ottawa Charter for Health </w:t>
      </w:r>
      <w:r w:rsidR="000C751B" w:rsidRPr="00B628D1">
        <w:rPr>
          <w:lang w:val="en-AU" w:eastAsia="en-AU"/>
        </w:rPr>
        <w:t>Promotion</w:t>
      </w:r>
      <w:r w:rsidR="006A206E">
        <w:rPr>
          <w:lang w:val="en-AU" w:eastAsia="en-AU"/>
        </w:rPr>
        <w:t>,</w:t>
      </w:r>
      <w:r w:rsidR="000C751B" w:rsidRPr="00B628D1">
        <w:rPr>
          <w:lang w:val="en-AU" w:eastAsia="en-AU"/>
        </w:rPr>
        <w:t xml:space="preserve"> and the general transition of focus from the health</w:t>
      </w:r>
      <w:r w:rsidR="000C751B" w:rsidRPr="00C14D55">
        <w:rPr>
          <w:lang w:val="en-AU" w:eastAsia="en-AU"/>
        </w:rPr>
        <w:t xml:space="preserve"> and wellbeing of individuals to that of </w:t>
      </w:r>
      <w:r w:rsidR="00E165C5" w:rsidRPr="00C14D55">
        <w:rPr>
          <w:lang w:val="en-AU" w:eastAsia="en-AU"/>
        </w:rPr>
        <w:t>population</w:t>
      </w:r>
      <w:r w:rsidR="00E165C5">
        <w:rPr>
          <w:lang w:val="en-AU" w:eastAsia="en-AU"/>
        </w:rPr>
        <w:t xml:space="preserve"> groups </w:t>
      </w:r>
      <w:r w:rsidR="006F1994">
        <w:rPr>
          <w:lang w:val="en-AU" w:eastAsia="en-AU"/>
        </w:rPr>
        <w:t xml:space="preserve">including Aboriginal and Torres Strait Islander </w:t>
      </w:r>
      <w:r w:rsidR="009A5642">
        <w:rPr>
          <w:lang w:val="en-AU" w:eastAsia="en-AU"/>
        </w:rPr>
        <w:t>Peoples</w:t>
      </w:r>
      <w:r w:rsidR="000C751B" w:rsidRPr="00C14D55">
        <w:rPr>
          <w:lang w:val="en-AU" w:eastAsia="en-AU"/>
        </w:rPr>
        <w:t xml:space="preserve">. Students investigate the Australian health system and its role in promoting health and wellbeing. They apply their understanding of successful health promotion campaigns, </w:t>
      </w:r>
      <w:proofErr w:type="gramStart"/>
      <w:r w:rsidR="000C751B" w:rsidRPr="00B628D1">
        <w:rPr>
          <w:lang w:val="en-AU" w:eastAsia="en-AU"/>
        </w:rPr>
        <w:t>programs</w:t>
      </w:r>
      <w:proofErr w:type="gramEnd"/>
      <w:r w:rsidR="000C751B" w:rsidRPr="00B628D1">
        <w:rPr>
          <w:lang w:val="en-AU" w:eastAsia="en-AU"/>
        </w:rPr>
        <w:t xml:space="preserve"> and case studies </w:t>
      </w:r>
      <w:r w:rsidR="00D67288" w:rsidRPr="00B628D1">
        <w:rPr>
          <w:lang w:val="en-AU" w:eastAsia="en-AU"/>
        </w:rPr>
        <w:t>to evaluate the ability of initiatives to</w:t>
      </w:r>
      <w:r w:rsidR="003E12A6">
        <w:rPr>
          <w:lang w:val="en-AU" w:eastAsia="en-AU"/>
        </w:rPr>
        <w:t xml:space="preserve"> identify priorities and</w:t>
      </w:r>
      <w:r w:rsidR="00D67288" w:rsidRPr="00B628D1">
        <w:rPr>
          <w:lang w:val="en-AU" w:eastAsia="en-AU"/>
        </w:rPr>
        <w:t xml:space="preserve"> improve health outcomes </w:t>
      </w:r>
      <w:r w:rsidR="000C751B" w:rsidRPr="00B628D1">
        <w:rPr>
          <w:lang w:val="en-AU" w:eastAsia="en-AU"/>
        </w:rPr>
        <w:t>in Australia.</w:t>
      </w:r>
    </w:p>
    <w:p w14:paraId="1C2E5D4C" w14:textId="77777777" w:rsidR="000C751B" w:rsidRPr="00C14D55" w:rsidRDefault="000C751B" w:rsidP="004F537B">
      <w:pPr>
        <w:pStyle w:val="VCAAHeading3"/>
        <w:rPr>
          <w:lang w:val="en-AU" w:eastAsia="en-AU"/>
        </w:rPr>
      </w:pPr>
      <w:bookmarkStart w:id="112" w:name="_Toc130815912"/>
      <w:bookmarkStart w:id="113" w:name="_Toc159241278"/>
      <w:r w:rsidRPr="00C14D55">
        <w:rPr>
          <w:lang w:val="en-AU" w:eastAsia="en-AU"/>
        </w:rPr>
        <w:t>Outcome 2</w:t>
      </w:r>
      <w:bookmarkEnd w:id="112"/>
      <w:bookmarkEnd w:id="113"/>
    </w:p>
    <w:p w14:paraId="39BDF6DD" w14:textId="0E2BE304" w:rsidR="000C751B" w:rsidRPr="00C14D55" w:rsidRDefault="000C751B" w:rsidP="004F537B">
      <w:pPr>
        <w:pStyle w:val="VCAAbody"/>
        <w:rPr>
          <w:lang w:val="en-AU"/>
        </w:rPr>
      </w:pPr>
      <w:r w:rsidRPr="00C14D55">
        <w:rPr>
          <w:lang w:val="en-AU"/>
        </w:rPr>
        <w:t>On completion of this unit</w:t>
      </w:r>
      <w:r w:rsidR="002F0651">
        <w:rPr>
          <w:lang w:val="en-AU"/>
        </w:rPr>
        <w:t>,</w:t>
      </w:r>
      <w:r w:rsidRPr="00C14D55">
        <w:rPr>
          <w:lang w:val="en-AU"/>
        </w:rPr>
        <w:t xml:space="preserve"> the student should be able to </w:t>
      </w:r>
      <w:r w:rsidRPr="00C14D55">
        <w:rPr>
          <w:lang w:val="en-AU" w:eastAsia="en-AU"/>
        </w:rPr>
        <w:t>explain changes to public health approaches, analyse improvements in population health over time and evaluate health promotion strategies and initiatives.</w:t>
      </w:r>
    </w:p>
    <w:p w14:paraId="47B45659" w14:textId="5C370FB4" w:rsidR="000C751B" w:rsidRPr="00C14D55" w:rsidRDefault="000C751B" w:rsidP="004F537B">
      <w:pPr>
        <w:pStyle w:val="VCAAbody"/>
        <w:rPr>
          <w:lang w:val="en-AU"/>
        </w:rPr>
      </w:pPr>
      <w:r w:rsidRPr="00C14D55">
        <w:rPr>
          <w:lang w:val="en-AU"/>
        </w:rPr>
        <w:t>To achieve this outcome</w:t>
      </w:r>
      <w:r w:rsidR="004D074D">
        <w:rPr>
          <w:lang w:val="en-AU"/>
        </w:rPr>
        <w:t>,</w:t>
      </w:r>
      <w:r w:rsidRPr="00C14D55">
        <w:rPr>
          <w:lang w:val="en-AU"/>
        </w:rPr>
        <w:t xml:space="preserve"> the student will draw on </w:t>
      </w:r>
      <w:r w:rsidR="00AE6F59">
        <w:rPr>
          <w:lang w:val="en-AU"/>
        </w:rPr>
        <w:t xml:space="preserve">the </w:t>
      </w:r>
      <w:r w:rsidRPr="00C14D55">
        <w:rPr>
          <w:lang w:val="en-AU"/>
        </w:rPr>
        <w:t>key knowledge and key skills outlined in Area of Study 2.</w:t>
      </w:r>
    </w:p>
    <w:p w14:paraId="6C617AE8" w14:textId="77777777" w:rsidR="000C751B" w:rsidRPr="00C14D55" w:rsidRDefault="000C751B" w:rsidP="004F537B">
      <w:pPr>
        <w:pStyle w:val="VCAAHeading5"/>
        <w:rPr>
          <w:lang w:val="en-AU"/>
        </w:rPr>
      </w:pPr>
      <w:r w:rsidRPr="00C14D55">
        <w:rPr>
          <w:lang w:val="en-AU"/>
        </w:rPr>
        <w:t>Key knowledge</w:t>
      </w:r>
    </w:p>
    <w:p w14:paraId="72B509AB" w14:textId="7FE074F5" w:rsidR="000C751B" w:rsidRPr="00C14D55" w:rsidRDefault="000C751B" w:rsidP="00BD6117">
      <w:pPr>
        <w:pStyle w:val="VCAAbullet"/>
      </w:pPr>
      <w:r w:rsidRPr="00C14D55">
        <w:t>reasons for improvements in Australia’s health status since 1900</w:t>
      </w:r>
      <w:r w:rsidR="004D074D">
        <w:t>,</w:t>
      </w:r>
      <w:r w:rsidRPr="00C14D55">
        <w:t xml:space="preserve"> focusing on:</w:t>
      </w:r>
    </w:p>
    <w:p w14:paraId="2640DAD6" w14:textId="6F96707C" w:rsidR="000C751B" w:rsidRPr="00C14D55" w:rsidRDefault="00507A42" w:rsidP="00BD6117">
      <w:pPr>
        <w:pStyle w:val="VCAAbulletlevel2"/>
      </w:pPr>
      <w:r w:rsidRPr="00C14D55">
        <w:t>‘</w:t>
      </w:r>
      <w:r w:rsidR="000C751B" w:rsidRPr="00C14D55">
        <w:t xml:space="preserve">old’ public health </w:t>
      </w:r>
    </w:p>
    <w:p w14:paraId="21180502" w14:textId="77777777" w:rsidR="000C751B" w:rsidRPr="00C14D55" w:rsidRDefault="000C751B" w:rsidP="00BD6117">
      <w:pPr>
        <w:pStyle w:val="VCAAbulletlevel2"/>
      </w:pPr>
      <w:r w:rsidRPr="00C14D55">
        <w:t xml:space="preserve">the biomedical approach to health and improvements in medical technology </w:t>
      </w:r>
    </w:p>
    <w:p w14:paraId="3184D939" w14:textId="10F2538E" w:rsidR="000C751B" w:rsidRPr="00C14D55" w:rsidRDefault="00D118F9" w:rsidP="00BD6117">
      <w:pPr>
        <w:pStyle w:val="VCAAbulletlevel2"/>
      </w:pPr>
      <w:r w:rsidRPr="00C14D55">
        <w:t xml:space="preserve">the concept </w:t>
      </w:r>
      <w:r w:rsidR="006F1994">
        <w:t xml:space="preserve">of </w:t>
      </w:r>
      <w:r w:rsidR="000C751B" w:rsidRPr="00C14D55">
        <w:t>the social model of health</w:t>
      </w:r>
      <w:r w:rsidR="00310CA3">
        <w:t xml:space="preserve"> </w:t>
      </w:r>
      <w:r w:rsidR="000C751B" w:rsidRPr="00C14D55">
        <w:t xml:space="preserve">and </w:t>
      </w:r>
      <w:r w:rsidR="00A76118">
        <w:t xml:space="preserve">the </w:t>
      </w:r>
      <w:r w:rsidR="000C751B" w:rsidRPr="00C14D55">
        <w:t xml:space="preserve">Ottawa Charter for Health Promotion </w:t>
      </w:r>
      <w:r w:rsidR="00FC1EE4">
        <w:t>(not including the principles of the social model of health)</w:t>
      </w:r>
    </w:p>
    <w:p w14:paraId="508E1BB9" w14:textId="4B06AB1F" w:rsidR="000C751B" w:rsidRPr="00C14D55" w:rsidRDefault="000C751B" w:rsidP="00BD6117">
      <w:pPr>
        <w:pStyle w:val="VCAAbullet"/>
      </w:pPr>
      <w:r w:rsidRPr="00C14D55">
        <w:t>the role of health promotion in improving population health</w:t>
      </w:r>
      <w:r w:rsidR="008E1CEC">
        <w:t xml:space="preserve"> </w:t>
      </w:r>
    </w:p>
    <w:p w14:paraId="76CA7500" w14:textId="520C4D3E" w:rsidR="000C751B" w:rsidRPr="00C14D55" w:rsidRDefault="000C751B" w:rsidP="00BD6117">
      <w:pPr>
        <w:pStyle w:val="VCAAbullet"/>
      </w:pPr>
      <w:r w:rsidRPr="00C14D55">
        <w:lastRenderedPageBreak/>
        <w:t>programs to improve Aboriginal and Torres Strait Island</w:t>
      </w:r>
      <w:r w:rsidR="00AD760E" w:rsidRPr="00C14D55">
        <w:t>er</w:t>
      </w:r>
      <w:r w:rsidRPr="00C14D55">
        <w:t xml:space="preserve"> </w:t>
      </w:r>
      <w:r w:rsidR="009A5642">
        <w:t>P</w:t>
      </w:r>
      <w:r w:rsidR="009A5642" w:rsidRPr="00C14D55">
        <w:t xml:space="preserve">eoples’ </w:t>
      </w:r>
      <w:r w:rsidRPr="00C14D55">
        <w:t xml:space="preserve">health, including how they </w:t>
      </w:r>
      <w:r w:rsidR="00B93DAC">
        <w:t xml:space="preserve">promote </w:t>
      </w:r>
      <w:r w:rsidRPr="00C14D55">
        <w:t xml:space="preserve">social </w:t>
      </w:r>
      <w:proofErr w:type="gramStart"/>
      <w:r w:rsidRPr="00C14D55">
        <w:t>justice</w:t>
      </w:r>
      <w:proofErr w:type="gramEnd"/>
    </w:p>
    <w:p w14:paraId="4FF77750" w14:textId="6C3FF4CB" w:rsidR="000C751B" w:rsidRPr="00C14D55" w:rsidRDefault="000C751B" w:rsidP="00BD6117">
      <w:pPr>
        <w:pStyle w:val="VCAAbullet"/>
      </w:pPr>
      <w:r w:rsidRPr="00C14D55">
        <w:t>initiatives to promote healthy eating in Australia, including</w:t>
      </w:r>
      <w:r w:rsidR="004006A0">
        <w:t xml:space="preserve"> the</w:t>
      </w:r>
      <w:r w:rsidRPr="00C14D55">
        <w:t xml:space="preserve"> Australian Dietary Guidelines, </w:t>
      </w:r>
      <w:r w:rsidR="004006A0">
        <w:t xml:space="preserve">the </w:t>
      </w:r>
      <w:r w:rsidRPr="00C14D55">
        <w:t xml:space="preserve">Australian Guide to Healthy Eating and </w:t>
      </w:r>
      <w:r w:rsidR="0037619D" w:rsidRPr="00C14D55">
        <w:t xml:space="preserve">the </w:t>
      </w:r>
      <w:r w:rsidRPr="00C14D55">
        <w:t>Aboriginal and Torres Strait Island</w:t>
      </w:r>
      <w:r w:rsidR="00AD760E" w:rsidRPr="00C14D55">
        <w:t>er</w:t>
      </w:r>
      <w:r w:rsidRPr="00C14D55">
        <w:t xml:space="preserve"> Guide to Healthy Eating</w:t>
      </w:r>
    </w:p>
    <w:p w14:paraId="63A90AB5" w14:textId="57CCF247" w:rsidR="000C751B" w:rsidRPr="00C14D55" w:rsidRDefault="000C751B" w:rsidP="00BD6117">
      <w:pPr>
        <w:pStyle w:val="VCAAbullet"/>
      </w:pPr>
      <w:r w:rsidRPr="00C14D55">
        <w:t xml:space="preserve">challenges in bringing about </w:t>
      </w:r>
      <w:r w:rsidR="00945A3B">
        <w:t>nutritional c</w:t>
      </w:r>
      <w:r w:rsidRPr="00C14D55">
        <w:t>hange</w:t>
      </w:r>
      <w:r w:rsidR="004006A0">
        <w:t>,</w:t>
      </w:r>
      <w:r w:rsidRPr="00C14D55">
        <w:t xml:space="preserve"> including sociocultural, environmental and commercial </w:t>
      </w:r>
      <w:proofErr w:type="gramStart"/>
      <w:r w:rsidRPr="00C14D55">
        <w:t>factors</w:t>
      </w:r>
      <w:proofErr w:type="gramEnd"/>
    </w:p>
    <w:p w14:paraId="0E3FF41D" w14:textId="0137BB9F" w:rsidR="004F537B" w:rsidRPr="008E1CEC" w:rsidRDefault="000C751B" w:rsidP="00BD6117">
      <w:pPr>
        <w:pStyle w:val="VCAAbullet"/>
      </w:pPr>
      <w:r w:rsidRPr="00C14D55">
        <w:t>Australia’s health system, including Medicare, private health insurance, the Pharmaceutical Benefits Scheme</w:t>
      </w:r>
      <w:r w:rsidR="000A5F88">
        <w:t xml:space="preserve"> (PBS)</w:t>
      </w:r>
      <w:r w:rsidRPr="00C14D55">
        <w:t xml:space="preserve"> and the National Disability Insurance Scheme</w:t>
      </w:r>
      <w:r w:rsidR="00AD760E" w:rsidRPr="00C14D55">
        <w:t xml:space="preserve"> (NDIS)</w:t>
      </w:r>
      <w:r w:rsidRPr="00C14D55">
        <w:t xml:space="preserve">, and its role in promoting health in </w:t>
      </w:r>
      <w:r w:rsidR="00166A20">
        <w:t>terms of</w:t>
      </w:r>
      <w:r w:rsidRPr="00C14D55">
        <w:t xml:space="preserve"> funding, sustainability, </w:t>
      </w:r>
      <w:proofErr w:type="gramStart"/>
      <w:r w:rsidRPr="00C14D55">
        <w:t>access</w:t>
      </w:r>
      <w:proofErr w:type="gramEnd"/>
      <w:r w:rsidRPr="00C14D55">
        <w:t xml:space="preserve"> and equity</w:t>
      </w:r>
      <w:r w:rsidR="00700317">
        <w:t>.</w:t>
      </w:r>
    </w:p>
    <w:p w14:paraId="6BBC70BD" w14:textId="77777777" w:rsidR="000C751B" w:rsidRPr="00C14D55" w:rsidRDefault="000C751B" w:rsidP="004F537B">
      <w:pPr>
        <w:pStyle w:val="VCAAHeading5"/>
        <w:rPr>
          <w:lang w:val="en-AU"/>
        </w:rPr>
      </w:pPr>
      <w:r w:rsidRPr="00C14D55">
        <w:rPr>
          <w:lang w:val="en-AU"/>
        </w:rPr>
        <w:t>Key skills</w:t>
      </w:r>
    </w:p>
    <w:p w14:paraId="373DF9A6" w14:textId="4985EA1B" w:rsidR="000C751B" w:rsidRPr="00C14D55" w:rsidRDefault="000C751B" w:rsidP="00BD6117">
      <w:pPr>
        <w:pStyle w:val="VCAAbullet"/>
      </w:pPr>
      <w:r w:rsidRPr="00C14D55">
        <w:t>analyse data that show</w:t>
      </w:r>
      <w:r w:rsidR="004006A0">
        <w:t>s</w:t>
      </w:r>
      <w:r w:rsidRPr="00C14D55">
        <w:t xml:space="preserve"> improvements in health over time and draw conclusions about reasons for </w:t>
      </w:r>
      <w:proofErr w:type="gramStart"/>
      <w:r w:rsidRPr="00C14D55">
        <w:t>improvements</w:t>
      </w:r>
      <w:proofErr w:type="gramEnd"/>
    </w:p>
    <w:p w14:paraId="5F9F19DD" w14:textId="51F7145F" w:rsidR="000C751B" w:rsidRPr="00C14D55" w:rsidRDefault="00B93DAC" w:rsidP="00BD6117">
      <w:pPr>
        <w:pStyle w:val="VCAAbullet"/>
      </w:pPr>
      <w:r>
        <w:t xml:space="preserve">explain </w:t>
      </w:r>
      <w:r w:rsidR="000C751B" w:rsidRPr="00C14D55">
        <w:t xml:space="preserve">how initiatives of </w:t>
      </w:r>
      <w:r w:rsidR="00D47C09" w:rsidRPr="00C14D55">
        <w:t>‘</w:t>
      </w:r>
      <w:r w:rsidR="000C751B" w:rsidRPr="00C14D55">
        <w:t>old</w:t>
      </w:r>
      <w:r w:rsidR="00D47C09" w:rsidRPr="00C14D55">
        <w:t>’</w:t>
      </w:r>
      <w:r w:rsidR="000C751B" w:rsidRPr="00C14D55">
        <w:t xml:space="preserve"> public health and </w:t>
      </w:r>
      <w:r w:rsidR="006F1994">
        <w:t>the social model of health</w:t>
      </w:r>
      <w:r w:rsidR="00CE315F" w:rsidRPr="00C14D55">
        <w:t>,</w:t>
      </w:r>
      <w:r w:rsidR="000C751B" w:rsidRPr="00C14D55">
        <w:t xml:space="preserve"> including those reflecting action areas of the Ottawa Charter</w:t>
      </w:r>
      <w:r w:rsidR="002A6F5B">
        <w:t xml:space="preserve"> for Health Promotion</w:t>
      </w:r>
      <w:r w:rsidR="00CE315F" w:rsidRPr="00C14D55">
        <w:t xml:space="preserve">, </w:t>
      </w:r>
      <w:r w:rsidR="000C751B" w:rsidRPr="00C14D55">
        <w:t xml:space="preserve">could lead to improved health </w:t>
      </w:r>
      <w:proofErr w:type="gramStart"/>
      <w:r w:rsidR="000C751B" w:rsidRPr="00C14D55">
        <w:t>outcomes</w:t>
      </w:r>
      <w:proofErr w:type="gramEnd"/>
    </w:p>
    <w:p w14:paraId="75B014D7" w14:textId="20BFA622" w:rsidR="000C751B" w:rsidRPr="00C14D55" w:rsidRDefault="000C751B" w:rsidP="00BD6117">
      <w:pPr>
        <w:pStyle w:val="VCAAbullet"/>
      </w:pPr>
      <w:r w:rsidRPr="00C14D55">
        <w:t>describe the relationship between biomedical and social models of health</w:t>
      </w:r>
      <w:r w:rsidR="00D47C09" w:rsidRPr="00C14D55">
        <w:t>,</w:t>
      </w:r>
      <w:r w:rsidRPr="00C14D55">
        <w:t xml:space="preserve"> including the strengths and limitations of </w:t>
      </w:r>
      <w:proofErr w:type="gramStart"/>
      <w:r w:rsidRPr="00C14D55">
        <w:t>each</w:t>
      </w:r>
      <w:proofErr w:type="gramEnd"/>
    </w:p>
    <w:p w14:paraId="7F1C68F9" w14:textId="55E96BC3" w:rsidR="000C751B" w:rsidRPr="00C14D55" w:rsidRDefault="00FA4208" w:rsidP="00BD6117">
      <w:pPr>
        <w:pStyle w:val="VCAAbullet"/>
        <w:rPr>
          <w:rFonts w:eastAsia="Arial"/>
        </w:rPr>
      </w:pPr>
      <w:r w:rsidRPr="00C14D55">
        <w:t xml:space="preserve">analyse </w:t>
      </w:r>
      <w:r w:rsidR="000C751B" w:rsidRPr="00C14D55">
        <w:t>a range of data, case studies and examples of health promotion programs</w:t>
      </w:r>
      <w:r w:rsidRPr="00C14D55">
        <w:t xml:space="preserve"> in relation to the use of action areas of the Ottawa Charter for Health Promotion and how they </w:t>
      </w:r>
      <w:r w:rsidRPr="00C14D55">
        <w:rPr>
          <w:rFonts w:eastAsia="Arial"/>
        </w:rPr>
        <w:t xml:space="preserve">can lead to improved health </w:t>
      </w:r>
      <w:proofErr w:type="gramStart"/>
      <w:r w:rsidRPr="00C14D55">
        <w:rPr>
          <w:rFonts w:eastAsia="Arial"/>
        </w:rPr>
        <w:t>outcomes</w:t>
      </w:r>
      <w:proofErr w:type="gramEnd"/>
      <w:r w:rsidRPr="00C14D55">
        <w:t xml:space="preserve"> </w:t>
      </w:r>
    </w:p>
    <w:p w14:paraId="51F5A20E" w14:textId="57514DA1" w:rsidR="000C751B" w:rsidRDefault="000C751B" w:rsidP="00BD6117">
      <w:pPr>
        <w:pStyle w:val="VCAAbullet"/>
        <w:rPr>
          <w:rFonts w:ascii="Times New Roman" w:hAnsi="Times New Roman" w:cs="Times New Roman"/>
          <w:sz w:val="24"/>
          <w:szCs w:val="24"/>
          <w:lang w:eastAsia="en-AU"/>
        </w:rPr>
      </w:pPr>
      <w:bookmarkStart w:id="114" w:name="_Hlk127745306"/>
      <w:r w:rsidRPr="00C14D55">
        <w:rPr>
          <w:rFonts w:eastAsia="Arial"/>
          <w:color w:val="000000"/>
          <w:lang w:eastAsia="en-AU"/>
        </w:rPr>
        <w:t>analyse</w:t>
      </w:r>
      <w:r w:rsidRPr="00C14D55">
        <w:t xml:space="preserve"> initiatives introduced to improve Aboriginal and Torres Strait Island</w:t>
      </w:r>
      <w:r w:rsidR="00D47C09" w:rsidRPr="00C14D55">
        <w:t>er</w:t>
      </w:r>
      <w:r w:rsidRPr="00C14D55">
        <w:t xml:space="preserve"> </w:t>
      </w:r>
      <w:r w:rsidR="009A5642">
        <w:t>P</w:t>
      </w:r>
      <w:r w:rsidR="009A5642" w:rsidRPr="00C14D55">
        <w:t xml:space="preserve">eoples’ </w:t>
      </w:r>
      <w:r w:rsidRPr="00C14D55">
        <w:t>health and wellbeing in Australia</w:t>
      </w:r>
      <w:r w:rsidR="00D47C09" w:rsidRPr="00C14D55">
        <w:t>,</w:t>
      </w:r>
      <w:r w:rsidRPr="00C14D55">
        <w:t xml:space="preserve"> and how they reflect the action areas of the Ottawa Charter for Health Promotion and social </w:t>
      </w:r>
      <w:proofErr w:type="gramStart"/>
      <w:r w:rsidRPr="00C14D55">
        <w:t>justice</w:t>
      </w:r>
      <w:bookmarkEnd w:id="114"/>
      <w:proofErr w:type="gramEnd"/>
      <w:r w:rsidRPr="00C14D55">
        <w:rPr>
          <w:rFonts w:ascii="Times New Roman" w:hAnsi="Times New Roman" w:cs="Times New Roman"/>
          <w:sz w:val="24"/>
          <w:szCs w:val="24"/>
          <w:lang w:eastAsia="en-AU"/>
        </w:rPr>
        <w:t xml:space="preserve"> </w:t>
      </w:r>
    </w:p>
    <w:p w14:paraId="270E33D4" w14:textId="09C8A60F" w:rsidR="00D76554" w:rsidRPr="00D76554" w:rsidRDefault="00D76554" w:rsidP="00BD6117">
      <w:pPr>
        <w:pStyle w:val="VCAAbullet"/>
        <w:rPr>
          <w:rFonts w:ascii="Times New Roman" w:hAnsi="Times New Roman" w:cs="Times New Roman"/>
          <w:sz w:val="24"/>
          <w:szCs w:val="24"/>
          <w:lang w:eastAsia="en-AU"/>
        </w:rPr>
      </w:pPr>
      <w:r w:rsidRPr="00C14D55">
        <w:t xml:space="preserve">evaluate initiatives in terms of their capacity to improve health outcomes of Aboriginal and Torres Strait Islander </w:t>
      </w:r>
      <w:r w:rsidR="009A5642">
        <w:t>P</w:t>
      </w:r>
      <w:r w:rsidR="009A5642" w:rsidRPr="00C14D55">
        <w:t xml:space="preserve">eoples </w:t>
      </w:r>
      <w:r w:rsidRPr="00C14D55">
        <w:t xml:space="preserve">and promote social </w:t>
      </w:r>
      <w:proofErr w:type="gramStart"/>
      <w:r w:rsidRPr="00C14D55">
        <w:t>justice</w:t>
      </w:r>
      <w:proofErr w:type="gramEnd"/>
      <w:r w:rsidRPr="00C14D55">
        <w:t xml:space="preserve"> </w:t>
      </w:r>
    </w:p>
    <w:p w14:paraId="5756D6AA" w14:textId="77777777" w:rsidR="000C751B" w:rsidRPr="00C14D55" w:rsidRDefault="000C751B" w:rsidP="00BD6117">
      <w:pPr>
        <w:pStyle w:val="VCAAbullet"/>
        <w:rPr>
          <w:rFonts w:ascii="Times New Roman" w:hAnsi="Times New Roman" w:cs="Times New Roman"/>
          <w:sz w:val="24"/>
          <w:szCs w:val="24"/>
          <w:lang w:eastAsia="en-AU"/>
        </w:rPr>
      </w:pPr>
      <w:r w:rsidRPr="00C14D55">
        <w:t xml:space="preserve">evaluate the impact of initiatives to promote healthy eating in Australia and their ability to improve health </w:t>
      </w:r>
      <w:proofErr w:type="gramStart"/>
      <w:r w:rsidRPr="00C14D55">
        <w:t>outcomes</w:t>
      </w:r>
      <w:proofErr w:type="gramEnd"/>
      <w:r w:rsidRPr="00C14D55">
        <w:rPr>
          <w:rFonts w:ascii="Times New Roman" w:hAnsi="Times New Roman" w:cs="Times New Roman"/>
          <w:sz w:val="24"/>
          <w:szCs w:val="24"/>
          <w:lang w:eastAsia="en-AU"/>
        </w:rPr>
        <w:t xml:space="preserve"> </w:t>
      </w:r>
    </w:p>
    <w:p w14:paraId="397620F5" w14:textId="661C58E1" w:rsidR="000C751B" w:rsidRPr="00C14D55" w:rsidRDefault="000C751B" w:rsidP="00BD6117">
      <w:pPr>
        <w:pStyle w:val="VCAAbullet"/>
      </w:pPr>
      <w:r w:rsidRPr="00C14D55">
        <w:t xml:space="preserve">draw conclusions as to why </w:t>
      </w:r>
      <w:r w:rsidR="00945A3B">
        <w:t>nutritional</w:t>
      </w:r>
      <w:r w:rsidRPr="00C14D55">
        <w:t xml:space="preserve"> improvements are difficult to achieve in </w:t>
      </w:r>
      <w:proofErr w:type="gramStart"/>
      <w:r w:rsidRPr="00C14D55">
        <w:t>Australia</w:t>
      </w:r>
      <w:proofErr w:type="gramEnd"/>
      <w:r w:rsidRPr="00C14D55">
        <w:t xml:space="preserve"> </w:t>
      </w:r>
    </w:p>
    <w:p w14:paraId="0B101E98" w14:textId="13CE00E4" w:rsidR="000C751B" w:rsidRPr="00C14D55" w:rsidRDefault="00545C77" w:rsidP="00BD6117">
      <w:pPr>
        <w:pStyle w:val="VCAAbullet"/>
      </w:pPr>
      <w:r>
        <w:t>a</w:t>
      </w:r>
      <w:r w:rsidR="00B93DAC" w:rsidRPr="00B93DAC">
        <w:t>nalyse the role</w:t>
      </w:r>
      <w:r w:rsidR="00945A3B">
        <w:t xml:space="preserve"> </w:t>
      </w:r>
      <w:r w:rsidR="00B93DAC" w:rsidRPr="00B93DAC">
        <w:t xml:space="preserve">of Medicare, private health insurance, the </w:t>
      </w:r>
      <w:proofErr w:type="gramStart"/>
      <w:r w:rsidR="00B93DAC" w:rsidRPr="00B93DAC">
        <w:t>PBS</w:t>
      </w:r>
      <w:proofErr w:type="gramEnd"/>
      <w:r w:rsidR="00B93DAC" w:rsidRPr="00B93DAC">
        <w:t xml:space="preserve"> and the NDIS in promoting Australia’s health.</w:t>
      </w:r>
    </w:p>
    <w:p w14:paraId="04725529" w14:textId="410D603A" w:rsidR="000C751B" w:rsidRPr="00C14D55" w:rsidRDefault="000C751B" w:rsidP="004F537B">
      <w:pPr>
        <w:pStyle w:val="VCAAHeading2"/>
        <w:rPr>
          <w:lang w:val="en-AU"/>
        </w:rPr>
      </w:pPr>
      <w:bookmarkStart w:id="115" w:name="_Toc159241279"/>
      <w:r w:rsidRPr="00C14D55">
        <w:rPr>
          <w:lang w:val="en-AU"/>
        </w:rPr>
        <w:t>School-based assessment</w:t>
      </w:r>
      <w:bookmarkEnd w:id="115"/>
    </w:p>
    <w:p w14:paraId="3139B241" w14:textId="77777777" w:rsidR="000C751B" w:rsidRPr="00C14D55" w:rsidRDefault="000C751B" w:rsidP="004F537B">
      <w:pPr>
        <w:pStyle w:val="VCAAHeading3"/>
        <w:rPr>
          <w:lang w:val="en-AU"/>
        </w:rPr>
      </w:pPr>
      <w:bookmarkStart w:id="116" w:name="_Toc130815914"/>
      <w:bookmarkStart w:id="117" w:name="_Toc159241280"/>
      <w:r w:rsidRPr="00C14D55">
        <w:rPr>
          <w:lang w:val="en-AU"/>
        </w:rPr>
        <w:t>Satisfactory completion</w:t>
      </w:r>
      <w:bookmarkEnd w:id="116"/>
      <w:bookmarkEnd w:id="117"/>
    </w:p>
    <w:p w14:paraId="0D782F79" w14:textId="77777777" w:rsidR="000C751B" w:rsidRPr="00C14D55" w:rsidRDefault="000C751B" w:rsidP="004F537B">
      <w:pPr>
        <w:pStyle w:val="VCAAbody"/>
        <w:rPr>
          <w:lang w:val="en-AU"/>
        </w:rPr>
      </w:pPr>
      <w:r w:rsidRPr="00C14D55">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56C1EFD9" w14:textId="77777777" w:rsidR="000C751B" w:rsidRPr="00C14D55" w:rsidRDefault="000C751B" w:rsidP="004F537B">
      <w:pPr>
        <w:pStyle w:val="VCAAbody"/>
        <w:rPr>
          <w:lang w:val="en-AU"/>
        </w:rPr>
      </w:pPr>
      <w:r w:rsidRPr="00C14D55">
        <w:rPr>
          <w:lang w:val="en-AU"/>
        </w:rPr>
        <w:t>The areas of study and key knowledge and key skills listed for the outcomes should be used for course design and the development of learning activities and assessment tasks.</w:t>
      </w:r>
    </w:p>
    <w:p w14:paraId="691B4F31" w14:textId="77777777" w:rsidR="000C751B" w:rsidRPr="00C14D55" w:rsidRDefault="000C751B" w:rsidP="004F537B">
      <w:pPr>
        <w:pStyle w:val="VCAAHeading3"/>
        <w:rPr>
          <w:lang w:val="en-AU"/>
        </w:rPr>
      </w:pPr>
      <w:bookmarkStart w:id="118" w:name="_Toc130815915"/>
      <w:bookmarkStart w:id="119" w:name="_Toc159241281"/>
      <w:r w:rsidRPr="00C14D55">
        <w:rPr>
          <w:lang w:val="en-AU"/>
        </w:rPr>
        <w:t>Assessment of levels of achievement</w:t>
      </w:r>
      <w:bookmarkEnd w:id="118"/>
      <w:bookmarkEnd w:id="119"/>
    </w:p>
    <w:p w14:paraId="57B9F233" w14:textId="77777777" w:rsidR="000C751B" w:rsidRPr="00C14D55" w:rsidRDefault="000C751B" w:rsidP="004F537B">
      <w:pPr>
        <w:pStyle w:val="VCAAHeading4"/>
        <w:rPr>
          <w:lang w:val="en-AU"/>
        </w:rPr>
      </w:pPr>
      <w:r w:rsidRPr="00C14D55">
        <w:rPr>
          <w:lang w:val="en-AU"/>
        </w:rPr>
        <w:t>School-assessment Coursework</w:t>
      </w:r>
    </w:p>
    <w:p w14:paraId="138D81D8" w14:textId="77777777" w:rsidR="000C751B" w:rsidRPr="00C14D55" w:rsidRDefault="000C751B" w:rsidP="004F537B">
      <w:pPr>
        <w:pStyle w:val="VCAAbody"/>
        <w:rPr>
          <w:lang w:val="en-AU"/>
        </w:rPr>
      </w:pPr>
      <w:r w:rsidRPr="00C14D55">
        <w:rPr>
          <w:lang w:val="en-AU"/>
        </w:rPr>
        <w:t xml:space="preserve">The student’s level of achievement in Unit 3 will be determined by School-assessed Coursework. School-assessed Coursework tasks must be a part of the regular teaching and learning program and must not unduly </w:t>
      </w:r>
      <w:r w:rsidRPr="00C14D55">
        <w:rPr>
          <w:lang w:val="en-AU"/>
        </w:rPr>
        <w:lastRenderedPageBreak/>
        <w:t xml:space="preserve">add to the workload associated with that program. They must be completed mainly in class and within a limited timeframe. </w:t>
      </w:r>
    </w:p>
    <w:p w14:paraId="36BB03DA" w14:textId="77777777" w:rsidR="000C751B" w:rsidRPr="00C14D55" w:rsidRDefault="000C751B" w:rsidP="004F537B">
      <w:pPr>
        <w:pStyle w:val="VCAAbody"/>
        <w:rPr>
          <w:lang w:val="en-AU"/>
        </w:rPr>
      </w:pPr>
      <w:r w:rsidRPr="00C14D55">
        <w:rPr>
          <w:lang w:val="en-AU"/>
        </w:rPr>
        <w:t xml:space="preserve">Where teachers provide a range of options for the same School-assessed Coursework task, they should ensure that the options are of comparable scope and demand. </w:t>
      </w:r>
    </w:p>
    <w:p w14:paraId="3F8F8781" w14:textId="4389216B" w:rsidR="000C751B" w:rsidRPr="00C14D55" w:rsidRDefault="000C751B" w:rsidP="004F537B">
      <w:pPr>
        <w:pStyle w:val="VCAAbody"/>
        <w:rPr>
          <w:rFonts w:ascii="HelveticaNeue LT 55 Roman" w:hAnsi="HelveticaNeue LT 55 Roman" w:cs="HelveticaNeue LT 55 Roman"/>
          <w:lang w:val="en-AU"/>
        </w:rPr>
      </w:pPr>
      <w:r w:rsidRPr="00C14D55">
        <w:rPr>
          <w:lang w:val="en-AU"/>
        </w:rPr>
        <w:t xml:space="preserve">The types and range of forms of School-assessed Coursework for the outcomes are prescribed within the study design. The VCAA publishes </w:t>
      </w:r>
      <w:hyperlink r:id="rId38" w:history="1">
        <w:r w:rsidRPr="00C14D55">
          <w:rPr>
            <w:iCs/>
            <w:color w:val="0000FF" w:themeColor="hyperlink"/>
            <w:u w:val="single"/>
            <w:lang w:val="en-AU"/>
          </w:rPr>
          <w:t>Support materials</w:t>
        </w:r>
      </w:hyperlink>
      <w:r w:rsidRPr="00C14D55">
        <w:rPr>
          <w:lang w:val="en-AU"/>
        </w:rPr>
        <w:t xml:space="preserve"> for this study, which include advice on the design of assessment tasks and the assessment of student work for a level of achievement.</w:t>
      </w:r>
      <w:r w:rsidRPr="00C14D55">
        <w:rPr>
          <w:rFonts w:ascii="HelveticaNeue LT 55 Roman" w:hAnsi="HelveticaNeue LT 55 Roman" w:cs="HelveticaNeue LT 55 Roman"/>
          <w:lang w:val="en-AU"/>
        </w:rPr>
        <w:t xml:space="preserve"> </w:t>
      </w:r>
    </w:p>
    <w:p w14:paraId="004E3A62" w14:textId="77777777" w:rsidR="000C751B" w:rsidRPr="00C14D55" w:rsidRDefault="000C751B" w:rsidP="004F537B">
      <w:pPr>
        <w:pStyle w:val="VCAAbody"/>
        <w:rPr>
          <w:lang w:val="en-AU"/>
        </w:rPr>
      </w:pPr>
      <w:r w:rsidRPr="00C14D55">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54225EE6" w14:textId="77777777" w:rsidR="000C751B" w:rsidRPr="00C14D55" w:rsidRDefault="000C751B" w:rsidP="004F537B">
      <w:pPr>
        <w:pStyle w:val="VCAAHeading4"/>
        <w:rPr>
          <w:lang w:val="en-AU"/>
        </w:rPr>
      </w:pPr>
      <w:r w:rsidRPr="00C14D55">
        <w:rPr>
          <w:lang w:val="en-AU"/>
        </w:rPr>
        <w:t>Contribution to final assessment</w:t>
      </w:r>
    </w:p>
    <w:p w14:paraId="459F7838" w14:textId="77777777" w:rsidR="000C751B" w:rsidRPr="00C14D55" w:rsidRDefault="000C751B" w:rsidP="004F537B">
      <w:pPr>
        <w:pStyle w:val="VCAAbody"/>
        <w:spacing w:after="240"/>
        <w:rPr>
          <w:lang w:val="en-AU"/>
        </w:rPr>
      </w:pPr>
      <w:r w:rsidRPr="00C14D55">
        <w:rPr>
          <w:lang w:val="en-AU"/>
        </w:rPr>
        <w:t>School-assessed Coursework for Unit 3 will contribute 25 per cent to the study score.</w:t>
      </w:r>
    </w:p>
    <w:tbl>
      <w:tblPr>
        <w:tblStyle w:val="VCAATableClosed1"/>
        <w:tblW w:w="0" w:type="auto"/>
        <w:tblLook w:val="04A0" w:firstRow="1" w:lastRow="0" w:firstColumn="1" w:lastColumn="0" w:noHBand="0" w:noVBand="1"/>
      </w:tblPr>
      <w:tblGrid>
        <w:gridCol w:w="3840"/>
        <w:gridCol w:w="2223"/>
        <w:gridCol w:w="3568"/>
      </w:tblGrid>
      <w:tr w:rsidR="000C751B" w:rsidRPr="00C14D55" w14:paraId="79D3D324" w14:textId="77777777" w:rsidTr="00AA6B59">
        <w:trPr>
          <w:cnfStyle w:val="100000000000" w:firstRow="1" w:lastRow="0" w:firstColumn="0" w:lastColumn="0" w:oddVBand="0" w:evenVBand="0" w:oddHBand="0" w:evenHBand="0" w:firstRowFirstColumn="0" w:firstRowLastColumn="0" w:lastRowFirstColumn="0" w:lastRowLastColumn="0"/>
        </w:trPr>
        <w:tc>
          <w:tcPr>
            <w:tcW w:w="3840" w:type="dxa"/>
            <w:tcBorders>
              <w:left w:val="nil"/>
              <w:bottom w:val="single" w:sz="4" w:space="0" w:color="000000" w:themeColor="text1"/>
              <w:right w:val="nil"/>
            </w:tcBorders>
          </w:tcPr>
          <w:p w14:paraId="11D3DC54" w14:textId="77777777" w:rsidR="000C751B" w:rsidRPr="00C14D55" w:rsidRDefault="000C751B" w:rsidP="000C751B">
            <w:pPr>
              <w:spacing w:before="80" w:after="80" w:line="280" w:lineRule="exact"/>
              <w:rPr>
                <w:rFonts w:ascii="Arial Narrow" w:hAnsi="Arial Narrow" w:cs="Arial"/>
                <w:sz w:val="20"/>
              </w:rPr>
            </w:pPr>
            <w:bookmarkStart w:id="120" w:name="_Hlk128296205"/>
            <w:r w:rsidRPr="00C14D55">
              <w:rPr>
                <w:rFonts w:ascii="Arial Narrow" w:hAnsi="Arial Narrow" w:cs="Arial"/>
                <w:sz w:val="20"/>
              </w:rPr>
              <w:t>Outcomes</w:t>
            </w:r>
          </w:p>
        </w:tc>
        <w:tc>
          <w:tcPr>
            <w:tcW w:w="2223" w:type="dxa"/>
            <w:tcBorders>
              <w:left w:val="nil"/>
              <w:bottom w:val="single" w:sz="4" w:space="0" w:color="auto"/>
              <w:right w:val="nil"/>
            </w:tcBorders>
          </w:tcPr>
          <w:p w14:paraId="07B85025" w14:textId="77777777" w:rsidR="000C751B" w:rsidRPr="00C14D55" w:rsidRDefault="000C751B" w:rsidP="000C751B">
            <w:pPr>
              <w:spacing w:before="80" w:after="80" w:line="280" w:lineRule="exact"/>
              <w:jc w:val="center"/>
              <w:rPr>
                <w:rFonts w:ascii="Arial Narrow" w:hAnsi="Arial Narrow" w:cs="Arial"/>
                <w:sz w:val="20"/>
              </w:rPr>
            </w:pPr>
            <w:r w:rsidRPr="00C14D55">
              <w:rPr>
                <w:rFonts w:ascii="Arial Narrow" w:hAnsi="Arial Narrow" w:cs="Arial"/>
                <w:sz w:val="20"/>
              </w:rPr>
              <w:t>Marks allocated</w:t>
            </w:r>
          </w:p>
        </w:tc>
        <w:tc>
          <w:tcPr>
            <w:tcW w:w="3568" w:type="dxa"/>
            <w:tcBorders>
              <w:left w:val="nil"/>
              <w:bottom w:val="single" w:sz="4" w:space="0" w:color="000000" w:themeColor="text1"/>
              <w:right w:val="nil"/>
            </w:tcBorders>
          </w:tcPr>
          <w:p w14:paraId="44E755D0" w14:textId="77777777" w:rsidR="000C751B" w:rsidRPr="00C14D55" w:rsidRDefault="000C751B" w:rsidP="000C751B">
            <w:pPr>
              <w:spacing w:before="80" w:after="80" w:line="280" w:lineRule="exact"/>
              <w:rPr>
                <w:rFonts w:ascii="Arial Narrow" w:hAnsi="Arial Narrow" w:cs="Arial"/>
                <w:sz w:val="20"/>
              </w:rPr>
            </w:pPr>
            <w:r w:rsidRPr="00C14D55">
              <w:rPr>
                <w:rFonts w:ascii="Arial Narrow" w:hAnsi="Arial Narrow" w:cs="Arial"/>
                <w:sz w:val="20"/>
              </w:rPr>
              <w:t>Assessment tasks</w:t>
            </w:r>
          </w:p>
        </w:tc>
      </w:tr>
      <w:tr w:rsidR="000C751B" w:rsidRPr="00C14D55" w14:paraId="3DDEFEEB" w14:textId="77777777" w:rsidTr="00AA6B59">
        <w:tc>
          <w:tcPr>
            <w:tcW w:w="3840" w:type="dxa"/>
            <w:tcBorders>
              <w:left w:val="nil"/>
              <w:bottom w:val="nil"/>
              <w:right w:val="nil"/>
            </w:tcBorders>
          </w:tcPr>
          <w:p w14:paraId="4E581053" w14:textId="77777777" w:rsidR="000C751B" w:rsidRPr="00C14D55" w:rsidRDefault="000C751B" w:rsidP="000C751B">
            <w:pPr>
              <w:spacing w:before="80" w:after="80" w:line="280" w:lineRule="exact"/>
              <w:rPr>
                <w:rFonts w:cs="Arial"/>
                <w:b/>
                <w:sz w:val="20"/>
              </w:rPr>
            </w:pPr>
            <w:r w:rsidRPr="00C14D55">
              <w:rPr>
                <w:rFonts w:cs="Arial"/>
                <w:b/>
                <w:sz w:val="20"/>
              </w:rPr>
              <w:t>Outcome 1</w:t>
            </w:r>
          </w:p>
          <w:p w14:paraId="62026176" w14:textId="77777777" w:rsidR="00AC01A5" w:rsidRDefault="004F537B" w:rsidP="00AC01A5">
            <w:pPr>
              <w:pStyle w:val="VCAAtablecondensed"/>
              <w:rPr>
                <w:lang w:val="en-AU" w:eastAsia="en-AU"/>
              </w:rPr>
            </w:pPr>
            <w:r w:rsidRPr="00C14D55">
              <w:rPr>
                <w:lang w:val="en-AU" w:eastAsia="en-AU"/>
              </w:rPr>
              <w:t>E</w:t>
            </w:r>
            <w:r w:rsidR="000C751B" w:rsidRPr="00C14D55">
              <w:rPr>
                <w:lang w:val="en-AU" w:eastAsia="en-AU"/>
              </w:rPr>
              <w:t>xplain the complex, dynamic and global nature of health and wellbeing, interpret and apply Australia’s health status data and analyse variations in health status.</w:t>
            </w:r>
          </w:p>
          <w:p w14:paraId="237730EC" w14:textId="46DF1EA9" w:rsidR="00AC01A5" w:rsidRPr="00C14D55" w:rsidRDefault="00AC01A5" w:rsidP="00AC01A5">
            <w:pPr>
              <w:pStyle w:val="VCAAtablecondensed"/>
              <w:rPr>
                <w:lang w:val="en-AU" w:eastAsia="en-AU"/>
              </w:rPr>
            </w:pPr>
          </w:p>
        </w:tc>
        <w:tc>
          <w:tcPr>
            <w:tcW w:w="2223" w:type="dxa"/>
            <w:tcBorders>
              <w:top w:val="single" w:sz="4" w:space="0" w:color="auto"/>
              <w:left w:val="nil"/>
              <w:bottom w:val="nil"/>
              <w:right w:val="nil"/>
            </w:tcBorders>
          </w:tcPr>
          <w:p w14:paraId="2E9C8F5F" w14:textId="77777777" w:rsidR="000C751B" w:rsidRPr="00C14D55" w:rsidRDefault="000C751B" w:rsidP="000C751B">
            <w:pPr>
              <w:spacing w:before="80" w:after="80" w:line="280" w:lineRule="exact"/>
              <w:jc w:val="center"/>
              <w:rPr>
                <w:rFonts w:cs="Arial"/>
                <w:b/>
                <w:sz w:val="20"/>
              </w:rPr>
            </w:pPr>
            <w:r w:rsidRPr="00C14D55">
              <w:rPr>
                <w:rFonts w:cs="Arial"/>
                <w:b/>
                <w:sz w:val="20"/>
              </w:rPr>
              <w:t>50</w:t>
            </w:r>
          </w:p>
        </w:tc>
        <w:tc>
          <w:tcPr>
            <w:tcW w:w="3568" w:type="dxa"/>
            <w:vMerge w:val="restart"/>
            <w:tcBorders>
              <w:left w:val="nil"/>
              <w:right w:val="nil"/>
            </w:tcBorders>
          </w:tcPr>
          <w:p w14:paraId="47350DD9" w14:textId="77777777" w:rsidR="000C751B" w:rsidRPr="00C14D55" w:rsidRDefault="000C751B" w:rsidP="004F537B">
            <w:pPr>
              <w:pStyle w:val="VCAAtablecondensed"/>
              <w:rPr>
                <w:lang w:val="en-AU"/>
              </w:rPr>
            </w:pPr>
            <w:r w:rsidRPr="00C14D55">
              <w:rPr>
                <w:lang w:val="en-AU"/>
              </w:rPr>
              <w:t xml:space="preserve">The student’s performance on each outcome is assessed using one or more of the following. </w:t>
            </w:r>
          </w:p>
          <w:p w14:paraId="59610B9B" w14:textId="59EBE1F7" w:rsidR="000C751B" w:rsidRPr="0065254E" w:rsidRDefault="000C751B" w:rsidP="0065254E">
            <w:pPr>
              <w:pStyle w:val="VCAAtablecondensedbullet"/>
              <w:tabs>
                <w:tab w:val="clear" w:pos="425"/>
              </w:tabs>
              <w:ind w:left="356" w:hanging="356"/>
            </w:pPr>
            <w:r w:rsidRPr="00C14D55">
              <w:rPr>
                <w:lang w:val="en-AU"/>
              </w:rPr>
              <w:t>a</w:t>
            </w:r>
            <w:r w:rsidRPr="0065254E">
              <w:t xml:space="preserve"> written report, such as a media analysis, a research</w:t>
            </w:r>
            <w:r w:rsidR="00C727EE" w:rsidRPr="00C727EE">
              <w:t xml:space="preserve"> investigation</w:t>
            </w:r>
            <w:r w:rsidRPr="0065254E">
              <w:t xml:space="preserve"> a blog</w:t>
            </w:r>
            <w:r w:rsidR="00D636EB" w:rsidRPr="0065254E">
              <w:t xml:space="preserve"> post</w:t>
            </w:r>
            <w:r w:rsidRPr="0065254E">
              <w:t xml:space="preserve"> or a case study analysis </w:t>
            </w:r>
          </w:p>
          <w:p w14:paraId="7B0727F9" w14:textId="02B40827" w:rsidR="000C751B" w:rsidRPr="0065254E" w:rsidRDefault="00507A42" w:rsidP="0065254E">
            <w:pPr>
              <w:pStyle w:val="VCAAtablecondensedbullet"/>
              <w:tabs>
                <w:tab w:val="clear" w:pos="425"/>
              </w:tabs>
              <w:ind w:left="356" w:hanging="356"/>
            </w:pPr>
            <w:r w:rsidRPr="0065254E">
              <w:t xml:space="preserve">an </w:t>
            </w:r>
            <w:r w:rsidR="000C751B" w:rsidRPr="0065254E">
              <w:t>extended</w:t>
            </w:r>
            <w:r w:rsidR="00696558" w:rsidRPr="0065254E">
              <w:t xml:space="preserve"> </w:t>
            </w:r>
            <w:r w:rsidR="000C751B" w:rsidRPr="0065254E">
              <w:t xml:space="preserve">response question analysing a range of </w:t>
            </w:r>
            <w:r w:rsidR="007C24B3" w:rsidRPr="0065254E">
              <w:t xml:space="preserve">stimuli </w:t>
            </w:r>
            <w:r w:rsidR="000C751B" w:rsidRPr="0065254E">
              <w:t xml:space="preserve">with an emphasis on annotating, synthesising and planning the </w:t>
            </w:r>
            <w:proofErr w:type="gramStart"/>
            <w:r w:rsidR="000C751B" w:rsidRPr="0065254E">
              <w:t>response</w:t>
            </w:r>
            <w:proofErr w:type="gramEnd"/>
            <w:r w:rsidR="000C751B" w:rsidRPr="0065254E">
              <w:t xml:space="preserve"> </w:t>
            </w:r>
          </w:p>
          <w:p w14:paraId="5C958686" w14:textId="72CC885A" w:rsidR="000C751B" w:rsidRPr="0065254E" w:rsidRDefault="00507A42" w:rsidP="0065254E">
            <w:pPr>
              <w:pStyle w:val="VCAAtablecondensedbullet"/>
              <w:tabs>
                <w:tab w:val="clear" w:pos="425"/>
              </w:tabs>
              <w:ind w:left="356" w:hanging="356"/>
            </w:pPr>
            <w:r w:rsidRPr="0065254E">
              <w:t xml:space="preserve">an </w:t>
            </w:r>
            <w:r w:rsidR="000C751B" w:rsidRPr="0065254E">
              <w:t>oral presentation, such as a debate or a podcast</w:t>
            </w:r>
          </w:p>
          <w:p w14:paraId="6F56A150" w14:textId="505D9E4F" w:rsidR="000C751B" w:rsidRPr="0065254E" w:rsidRDefault="000C751B" w:rsidP="0065254E">
            <w:pPr>
              <w:pStyle w:val="VCAAtablecondensedbullet"/>
              <w:tabs>
                <w:tab w:val="clear" w:pos="425"/>
              </w:tabs>
              <w:ind w:left="356" w:hanging="356"/>
            </w:pPr>
            <w:r w:rsidRPr="0065254E">
              <w:t>a visual presentation such as</w:t>
            </w:r>
            <w:r w:rsidR="00FC1EE4" w:rsidRPr="0065254E">
              <w:t xml:space="preserve"> a concept map,</w:t>
            </w:r>
            <w:r w:rsidRPr="0065254E">
              <w:t xml:space="preserve"> an annotated </w:t>
            </w:r>
            <w:r w:rsidR="00FC1EE4" w:rsidRPr="0065254E">
              <w:t>poster,</w:t>
            </w:r>
            <w:r w:rsidRPr="0065254E">
              <w:t xml:space="preserve"> or a digital presentation </w:t>
            </w:r>
          </w:p>
          <w:p w14:paraId="697763B6" w14:textId="716F45DC" w:rsidR="000C751B" w:rsidRPr="0065254E" w:rsidRDefault="000C751B" w:rsidP="0065254E">
            <w:pPr>
              <w:pStyle w:val="VCAAtablecondensedbullet"/>
              <w:tabs>
                <w:tab w:val="clear" w:pos="425"/>
              </w:tabs>
              <w:ind w:left="356" w:hanging="356"/>
            </w:pPr>
            <w:r w:rsidRPr="0065254E">
              <w:t>structured questions, including data analysis</w:t>
            </w:r>
            <w:r w:rsidR="00FC1EE4" w:rsidRPr="0065254E">
              <w:t xml:space="preserve"> or case study analysis</w:t>
            </w:r>
            <w:r w:rsidR="004F537B" w:rsidRPr="0065254E">
              <w:t>.</w:t>
            </w:r>
          </w:p>
          <w:p w14:paraId="24391B74" w14:textId="77777777" w:rsidR="000C751B" w:rsidRPr="00C14D55" w:rsidRDefault="000C751B" w:rsidP="004F537B">
            <w:pPr>
              <w:pStyle w:val="VCAAtablecondensed"/>
              <w:spacing w:after="240"/>
              <w:rPr>
                <w:lang w:val="en-AU"/>
              </w:rPr>
            </w:pPr>
            <w:r w:rsidRPr="00C14D55">
              <w:rPr>
                <w:lang w:val="en-AU"/>
              </w:rPr>
              <w:t>Each task type can only be selected once across Outcome 1 and Outcome 2.</w:t>
            </w:r>
          </w:p>
        </w:tc>
      </w:tr>
      <w:tr w:rsidR="000C751B" w:rsidRPr="00C14D55" w14:paraId="3FE131E4" w14:textId="77777777" w:rsidTr="00AA6B59">
        <w:tc>
          <w:tcPr>
            <w:tcW w:w="3840" w:type="dxa"/>
            <w:tcBorders>
              <w:top w:val="nil"/>
              <w:left w:val="nil"/>
              <w:bottom w:val="nil"/>
              <w:right w:val="nil"/>
            </w:tcBorders>
          </w:tcPr>
          <w:p w14:paraId="2EE645AE" w14:textId="77777777" w:rsidR="000C751B" w:rsidRPr="00C14D55" w:rsidRDefault="000C751B" w:rsidP="000C751B">
            <w:pPr>
              <w:spacing w:before="80" w:after="80" w:line="280" w:lineRule="exact"/>
              <w:rPr>
                <w:rFonts w:cs="Arial"/>
                <w:b/>
                <w:sz w:val="20"/>
              </w:rPr>
            </w:pPr>
            <w:r w:rsidRPr="00C14D55">
              <w:rPr>
                <w:rFonts w:cs="Arial"/>
                <w:b/>
                <w:sz w:val="20"/>
              </w:rPr>
              <w:t>Outcome 2</w:t>
            </w:r>
          </w:p>
          <w:p w14:paraId="62B6FF97" w14:textId="0C58CE29" w:rsidR="005A7BE7" w:rsidRPr="00C14D55" w:rsidRDefault="00507A42" w:rsidP="005A7BE7">
            <w:pPr>
              <w:pStyle w:val="VCAAtablecondensed"/>
              <w:rPr>
                <w:lang w:val="en-AU"/>
              </w:rPr>
            </w:pPr>
            <w:r w:rsidRPr="00C14D55">
              <w:rPr>
                <w:lang w:val="en-AU"/>
              </w:rPr>
              <w:t>Explain changes to public health approaches, analyse improvements in population health over time and evaluate health promotion strategies and initiatives</w:t>
            </w:r>
            <w:r w:rsidR="005A7BE7" w:rsidRPr="00C14D55">
              <w:rPr>
                <w:lang w:val="en-AU" w:eastAsia="en-AU"/>
              </w:rPr>
              <w:t>.</w:t>
            </w:r>
          </w:p>
          <w:p w14:paraId="09FF19DC" w14:textId="45E9B4D0" w:rsidR="000C751B" w:rsidRPr="00C14D55" w:rsidRDefault="000C751B" w:rsidP="00AC01A5">
            <w:pPr>
              <w:pStyle w:val="VCAAbody"/>
              <w:rPr>
                <w:lang w:val="en-AU"/>
              </w:rPr>
            </w:pPr>
          </w:p>
        </w:tc>
        <w:tc>
          <w:tcPr>
            <w:tcW w:w="2223" w:type="dxa"/>
            <w:tcBorders>
              <w:top w:val="nil"/>
              <w:left w:val="nil"/>
              <w:bottom w:val="nil"/>
              <w:right w:val="nil"/>
            </w:tcBorders>
          </w:tcPr>
          <w:p w14:paraId="1A8FD036" w14:textId="77777777" w:rsidR="000C751B" w:rsidRPr="00C14D55" w:rsidRDefault="000C751B" w:rsidP="000C751B">
            <w:pPr>
              <w:spacing w:before="80" w:after="80" w:line="280" w:lineRule="exact"/>
              <w:jc w:val="center"/>
              <w:rPr>
                <w:rFonts w:cs="Arial"/>
                <w:b/>
                <w:sz w:val="20"/>
              </w:rPr>
            </w:pPr>
            <w:r w:rsidRPr="00C14D55">
              <w:rPr>
                <w:rFonts w:cs="Arial"/>
                <w:b/>
                <w:sz w:val="20"/>
              </w:rPr>
              <w:t>50</w:t>
            </w:r>
          </w:p>
        </w:tc>
        <w:tc>
          <w:tcPr>
            <w:tcW w:w="3568" w:type="dxa"/>
            <w:vMerge/>
            <w:tcBorders>
              <w:left w:val="nil"/>
              <w:bottom w:val="nil"/>
              <w:right w:val="nil"/>
            </w:tcBorders>
          </w:tcPr>
          <w:p w14:paraId="1A335F71" w14:textId="77777777" w:rsidR="000C751B" w:rsidRPr="00C14D55" w:rsidRDefault="000C751B" w:rsidP="000C751B">
            <w:pPr>
              <w:spacing w:before="80" w:after="80" w:line="280" w:lineRule="exact"/>
              <w:rPr>
                <w:rFonts w:cs="Arial"/>
                <w:sz w:val="20"/>
              </w:rPr>
            </w:pPr>
          </w:p>
        </w:tc>
      </w:tr>
      <w:tr w:rsidR="000C751B" w:rsidRPr="00C14D55" w14:paraId="3F4812DF" w14:textId="77777777" w:rsidTr="00AA6B59">
        <w:tc>
          <w:tcPr>
            <w:tcW w:w="3840" w:type="dxa"/>
            <w:tcBorders>
              <w:left w:val="nil"/>
              <w:right w:val="nil"/>
            </w:tcBorders>
          </w:tcPr>
          <w:p w14:paraId="3D43C860" w14:textId="77777777" w:rsidR="000C751B" w:rsidRPr="00C14D55" w:rsidRDefault="000C751B" w:rsidP="000C751B">
            <w:pPr>
              <w:spacing w:before="120" w:after="80" w:line="280" w:lineRule="exact"/>
              <w:jc w:val="right"/>
              <w:rPr>
                <w:rFonts w:cs="Arial"/>
                <w:b/>
                <w:sz w:val="20"/>
              </w:rPr>
            </w:pPr>
            <w:r w:rsidRPr="00C14D55">
              <w:rPr>
                <w:rFonts w:cs="Arial"/>
                <w:b/>
                <w:sz w:val="20"/>
              </w:rPr>
              <w:t>Total marks</w:t>
            </w:r>
          </w:p>
        </w:tc>
        <w:tc>
          <w:tcPr>
            <w:tcW w:w="2223" w:type="dxa"/>
            <w:tcBorders>
              <w:top w:val="single" w:sz="4" w:space="0" w:color="auto"/>
              <w:left w:val="nil"/>
              <w:right w:val="nil"/>
            </w:tcBorders>
          </w:tcPr>
          <w:p w14:paraId="6C6AEED4" w14:textId="77777777" w:rsidR="000C751B" w:rsidRPr="00C14D55" w:rsidRDefault="000C751B" w:rsidP="000C751B">
            <w:pPr>
              <w:spacing w:before="120" w:after="80" w:line="280" w:lineRule="exact"/>
              <w:jc w:val="center"/>
              <w:rPr>
                <w:rFonts w:cs="Arial"/>
                <w:b/>
                <w:sz w:val="20"/>
              </w:rPr>
            </w:pPr>
            <w:r w:rsidRPr="00C14D55">
              <w:rPr>
                <w:rFonts w:cs="Arial"/>
                <w:b/>
                <w:sz w:val="20"/>
              </w:rPr>
              <w:t>100</w:t>
            </w:r>
          </w:p>
        </w:tc>
        <w:tc>
          <w:tcPr>
            <w:tcW w:w="3568" w:type="dxa"/>
            <w:tcBorders>
              <w:left w:val="nil"/>
              <w:right w:val="nil"/>
            </w:tcBorders>
          </w:tcPr>
          <w:p w14:paraId="5D5920B1" w14:textId="77777777" w:rsidR="000C751B" w:rsidRPr="00C14D55" w:rsidRDefault="000C751B" w:rsidP="000C751B">
            <w:pPr>
              <w:spacing w:before="120" w:after="120" w:line="280" w:lineRule="exact"/>
              <w:rPr>
                <w:rFonts w:ascii="Arial" w:hAnsi="Arial" w:cs="Arial"/>
                <w:sz w:val="20"/>
              </w:rPr>
            </w:pPr>
          </w:p>
        </w:tc>
      </w:tr>
    </w:tbl>
    <w:p w14:paraId="2D16A5CF" w14:textId="77777777" w:rsidR="000C751B" w:rsidRPr="00C14D55" w:rsidRDefault="000C751B" w:rsidP="004F537B">
      <w:pPr>
        <w:pStyle w:val="VCAAHeading2"/>
        <w:rPr>
          <w:lang w:val="en-AU"/>
        </w:rPr>
      </w:pPr>
      <w:bookmarkStart w:id="121" w:name="_Toc159241282"/>
      <w:bookmarkEnd w:id="120"/>
      <w:r w:rsidRPr="00C14D55">
        <w:rPr>
          <w:lang w:val="en-AU"/>
        </w:rPr>
        <w:t>External assessment</w:t>
      </w:r>
      <w:bookmarkEnd w:id="121"/>
    </w:p>
    <w:p w14:paraId="4373DCF1" w14:textId="7BE3B188" w:rsidR="000C751B" w:rsidRPr="00C14D55" w:rsidRDefault="000C751B" w:rsidP="000C751B">
      <w:pPr>
        <w:rPr>
          <w:rFonts w:ascii="Arial" w:hAnsi="Arial" w:cs="Arial"/>
          <w:noProof/>
          <w:sz w:val="18"/>
          <w:szCs w:val="18"/>
        </w:rPr>
      </w:pPr>
      <w:r w:rsidRPr="00C14D55">
        <w:rPr>
          <w:rFonts w:ascii="Arial" w:hAnsi="Arial" w:cs="Arial"/>
          <w:color w:val="000000" w:themeColor="text1"/>
          <w:sz w:val="20"/>
        </w:rPr>
        <w:t xml:space="preserve">The level of achievement for Units 3 and 4 is also assessed by an end-of-year examination (see </w:t>
      </w:r>
      <w:hyperlink w:anchor="Examination" w:history="1">
        <w:r w:rsidRPr="00C14D55">
          <w:rPr>
            <w:rFonts w:ascii="Arial" w:hAnsi="Arial" w:cs="Arial"/>
            <w:color w:val="0000FF" w:themeColor="hyperlink"/>
            <w:sz w:val="20"/>
            <w:u w:val="single"/>
          </w:rPr>
          <w:t xml:space="preserve">page </w:t>
        </w:r>
        <w:r w:rsidR="00987A77" w:rsidRPr="00C14D55">
          <w:rPr>
            <w:rFonts w:ascii="Arial" w:hAnsi="Arial" w:cs="Arial"/>
            <w:color w:val="0000FF" w:themeColor="hyperlink"/>
            <w:sz w:val="20"/>
            <w:u w:val="single"/>
          </w:rPr>
          <w:t>2</w:t>
        </w:r>
        <w:r w:rsidR="00CD4903">
          <w:rPr>
            <w:rFonts w:ascii="Arial" w:hAnsi="Arial" w:cs="Arial"/>
            <w:color w:val="0000FF" w:themeColor="hyperlink"/>
            <w:sz w:val="20"/>
            <w:u w:val="single"/>
          </w:rPr>
          <w:t>9</w:t>
        </w:r>
      </w:hyperlink>
      <w:r w:rsidRPr="00C14D55">
        <w:rPr>
          <w:rFonts w:ascii="Arial" w:hAnsi="Arial" w:cs="Arial"/>
          <w:color w:val="000000" w:themeColor="text1"/>
          <w:sz w:val="20"/>
        </w:rPr>
        <w:t xml:space="preserve">), which will contribute </w:t>
      </w:r>
      <w:r w:rsidRPr="00C14D55">
        <w:rPr>
          <w:rFonts w:ascii="Arial" w:hAnsi="Arial" w:cs="Arial"/>
          <w:sz w:val="20"/>
        </w:rPr>
        <w:t xml:space="preserve">50 </w:t>
      </w:r>
      <w:r w:rsidRPr="00C14D55">
        <w:rPr>
          <w:rFonts w:ascii="Arial" w:hAnsi="Arial" w:cs="Arial"/>
          <w:color w:val="000000" w:themeColor="text1"/>
          <w:sz w:val="20"/>
        </w:rPr>
        <w:t>per cent to the study score.</w:t>
      </w:r>
      <w:r w:rsidRPr="00C14D55">
        <w:rPr>
          <w:rFonts w:ascii="Arial" w:hAnsi="Arial" w:cs="Arial"/>
          <w:noProof/>
          <w:sz w:val="18"/>
          <w:szCs w:val="18"/>
        </w:rPr>
        <w:br w:type="page"/>
      </w:r>
    </w:p>
    <w:p w14:paraId="7C97AC23" w14:textId="77777777" w:rsidR="001D1E2B" w:rsidRDefault="001D1E2B" w:rsidP="004F537B">
      <w:pPr>
        <w:pStyle w:val="VCAAHeading1"/>
        <w:rPr>
          <w:lang w:val="en-AU"/>
        </w:rPr>
        <w:sectPr w:rsidR="001D1E2B" w:rsidSect="00253788">
          <w:headerReference w:type="default" r:id="rId39"/>
          <w:headerReference w:type="first" r:id="rId40"/>
          <w:pgSz w:w="11907" w:h="16840" w:code="9"/>
          <w:pgMar w:top="1411" w:right="850" w:bottom="1440" w:left="1138" w:header="288" w:footer="288" w:gutter="0"/>
          <w:cols w:space="708"/>
          <w:docGrid w:linePitch="360"/>
        </w:sectPr>
      </w:pPr>
    </w:p>
    <w:p w14:paraId="4EEFF260" w14:textId="1342762D" w:rsidR="000C751B" w:rsidRPr="00C14D55" w:rsidRDefault="000C751B" w:rsidP="004F537B">
      <w:pPr>
        <w:pStyle w:val="VCAAHeading1"/>
        <w:rPr>
          <w:lang w:val="en-AU"/>
        </w:rPr>
      </w:pPr>
      <w:bookmarkStart w:id="122" w:name="_Toc159241283"/>
      <w:r w:rsidRPr="008C79A4">
        <w:rPr>
          <w:lang w:val="en-AU"/>
        </w:rPr>
        <w:lastRenderedPageBreak/>
        <w:t>Unit 4</w:t>
      </w:r>
      <w:r w:rsidRPr="00C14D55">
        <w:rPr>
          <w:lang w:val="en-AU"/>
        </w:rPr>
        <w:t xml:space="preserve">: Health and </w:t>
      </w:r>
      <w:r w:rsidR="006D03E1">
        <w:rPr>
          <w:lang w:val="en-AU"/>
        </w:rPr>
        <w:t>h</w:t>
      </w:r>
      <w:r w:rsidR="006D03E1" w:rsidRPr="00C14D55">
        <w:rPr>
          <w:lang w:val="en-AU"/>
        </w:rPr>
        <w:t xml:space="preserve">uman </w:t>
      </w:r>
      <w:r w:rsidR="006D03E1">
        <w:rPr>
          <w:lang w:val="en-AU"/>
        </w:rPr>
        <w:t>d</w:t>
      </w:r>
      <w:r w:rsidR="006D03E1" w:rsidRPr="00C14D55">
        <w:rPr>
          <w:lang w:val="en-AU"/>
        </w:rPr>
        <w:t xml:space="preserve">evelopment </w:t>
      </w:r>
      <w:r w:rsidRPr="00C14D55">
        <w:rPr>
          <w:lang w:val="en-AU"/>
        </w:rPr>
        <w:t>in a global context</w:t>
      </w:r>
      <w:bookmarkEnd w:id="122"/>
    </w:p>
    <w:p w14:paraId="543B207E" w14:textId="77777777" w:rsidR="00D25B83" w:rsidRDefault="005C0388" w:rsidP="004F537B">
      <w:pPr>
        <w:pStyle w:val="VCAAbody"/>
        <w:rPr>
          <w:lang w:val="en-AU" w:eastAsia="en-AU"/>
        </w:rPr>
      </w:pPr>
      <w:r>
        <w:rPr>
          <w:lang w:val="en-AU" w:eastAsia="en-AU"/>
        </w:rPr>
        <w:t>In t</w:t>
      </w:r>
      <w:r w:rsidR="000C751B" w:rsidRPr="00C14D55">
        <w:rPr>
          <w:lang w:val="en-AU" w:eastAsia="en-AU"/>
        </w:rPr>
        <w:t>his unit</w:t>
      </w:r>
      <w:r w:rsidR="009B2952">
        <w:rPr>
          <w:lang w:val="en-AU" w:eastAsia="en-AU"/>
        </w:rPr>
        <w:t>,</w:t>
      </w:r>
      <w:r>
        <w:rPr>
          <w:lang w:val="en-AU" w:eastAsia="en-AU"/>
        </w:rPr>
        <w:t xml:space="preserve"> students</w:t>
      </w:r>
      <w:r w:rsidR="000C751B" w:rsidRPr="00C14D55">
        <w:rPr>
          <w:lang w:val="en-AU" w:eastAsia="en-AU"/>
        </w:rPr>
        <w:t xml:space="preserve"> examine health and human development in a global context. </w:t>
      </w:r>
      <w:r w:rsidR="009B2952">
        <w:rPr>
          <w:lang w:val="en-AU" w:eastAsia="en-AU"/>
        </w:rPr>
        <w:t>They</w:t>
      </w:r>
      <w:r w:rsidR="009B2952" w:rsidRPr="00C14D55">
        <w:rPr>
          <w:lang w:val="en-AU" w:eastAsia="en-AU"/>
        </w:rPr>
        <w:t xml:space="preserve"> </w:t>
      </w:r>
      <w:r w:rsidR="000C751B" w:rsidRPr="00C14D55">
        <w:rPr>
          <w:lang w:val="en-AU" w:eastAsia="en-AU"/>
        </w:rPr>
        <w:t xml:space="preserve">use data to investigate health status and human development in different countries, exploring factors that contribute to health inequalities between and within countries, including the physical, </w:t>
      </w:r>
      <w:proofErr w:type="gramStart"/>
      <w:r w:rsidR="000C751B" w:rsidRPr="00C14D55">
        <w:rPr>
          <w:lang w:val="en-AU" w:eastAsia="en-AU"/>
        </w:rPr>
        <w:t>social</w:t>
      </w:r>
      <w:proofErr w:type="gramEnd"/>
      <w:r w:rsidR="000C751B" w:rsidRPr="00C14D55">
        <w:rPr>
          <w:lang w:val="en-AU" w:eastAsia="en-AU"/>
        </w:rPr>
        <w:t xml:space="preserve"> and economic conditions in which people live. Students build their understanding of health in a global context through examining changes in health status over time and studying the key concept of sustainability. They consider the health implications of increased globalisation and worldwide trends relating to climate change, digital technologies, world trade, </w:t>
      </w:r>
      <w:r w:rsidR="00AC1A53">
        <w:rPr>
          <w:lang w:val="en-AU" w:eastAsia="en-AU"/>
        </w:rPr>
        <w:t xml:space="preserve">tourism, </w:t>
      </w:r>
      <w:proofErr w:type="gramStart"/>
      <w:r w:rsidR="000C751B" w:rsidRPr="00C14D55">
        <w:rPr>
          <w:lang w:val="en-AU" w:eastAsia="en-AU"/>
        </w:rPr>
        <w:t>conflict</w:t>
      </w:r>
      <w:proofErr w:type="gramEnd"/>
      <w:r w:rsidR="000C751B" w:rsidRPr="00C14D55">
        <w:rPr>
          <w:lang w:val="en-AU" w:eastAsia="en-AU"/>
        </w:rPr>
        <w:t xml:space="preserve"> and the mass movement of people. </w:t>
      </w:r>
    </w:p>
    <w:p w14:paraId="66322B22" w14:textId="08CC87DF" w:rsidR="000C751B" w:rsidRPr="00C14D55" w:rsidRDefault="00A91DB5" w:rsidP="004F537B">
      <w:pPr>
        <w:pStyle w:val="VCAAbody"/>
        <w:rPr>
          <w:lang w:val="en-AU"/>
        </w:rPr>
      </w:pPr>
      <w:r>
        <w:rPr>
          <w:lang w:val="en-AU" w:eastAsia="en-AU"/>
        </w:rPr>
        <w:t>S</w:t>
      </w:r>
      <w:r w:rsidR="002D0A30">
        <w:rPr>
          <w:lang w:val="en-AU" w:eastAsia="en-AU"/>
        </w:rPr>
        <w:t>tudents</w:t>
      </w:r>
      <w:r w:rsidR="000C751B" w:rsidRPr="00C14D55">
        <w:rPr>
          <w:lang w:val="en-AU" w:eastAsia="en-AU"/>
        </w:rPr>
        <w:t xml:space="preserve"> </w:t>
      </w:r>
      <w:r w:rsidR="009B2952">
        <w:rPr>
          <w:lang w:val="en-AU" w:eastAsia="en-AU"/>
        </w:rPr>
        <w:t xml:space="preserve">consider </w:t>
      </w:r>
      <w:r w:rsidR="009B2952" w:rsidRPr="00C14D55">
        <w:rPr>
          <w:lang w:val="en-AU" w:eastAsia="en-AU"/>
        </w:rPr>
        <w:t>global</w:t>
      </w:r>
      <w:r w:rsidR="000C751B" w:rsidRPr="00C14D55">
        <w:rPr>
          <w:lang w:val="en-AU" w:eastAsia="en-AU"/>
        </w:rPr>
        <w:t xml:space="preserve"> action to improve health and human development, focusing on the United Nations’ (UN’s) Sustainable Development Goals (SDGs) and the </w:t>
      </w:r>
      <w:r w:rsidR="006A2F4F">
        <w:rPr>
          <w:lang w:val="en-AU" w:eastAsia="en-AU"/>
        </w:rPr>
        <w:t>goal and objectives</w:t>
      </w:r>
      <w:r w:rsidR="000C751B" w:rsidRPr="00C14D55">
        <w:rPr>
          <w:lang w:val="en-AU" w:eastAsia="en-AU"/>
        </w:rPr>
        <w:t xml:space="preserve"> of the World Health Organization (WHO). </w:t>
      </w:r>
      <w:r w:rsidR="00E2161D">
        <w:rPr>
          <w:lang w:val="en-AU" w:eastAsia="en-AU"/>
        </w:rPr>
        <w:t>They</w:t>
      </w:r>
      <w:r w:rsidR="00E2161D" w:rsidRPr="00C14D55">
        <w:rPr>
          <w:lang w:val="en-AU" w:eastAsia="en-AU"/>
        </w:rPr>
        <w:t xml:space="preserve"> </w:t>
      </w:r>
      <w:r w:rsidR="000C751B" w:rsidRPr="00C14D55">
        <w:rPr>
          <w:lang w:val="en-AU" w:eastAsia="en-AU"/>
        </w:rPr>
        <w:t xml:space="preserve">also investigate the role of non-government organisations and Australia’s overseas aid program. Students evaluate the effectiveness of health initiatives and programs in a global context and reflect on their </w:t>
      </w:r>
      <w:r w:rsidR="000E3376">
        <w:rPr>
          <w:lang w:val="en-AU" w:eastAsia="en-AU"/>
        </w:rPr>
        <w:t xml:space="preserve">own </w:t>
      </w:r>
      <w:r w:rsidR="000C751B" w:rsidRPr="00C14D55">
        <w:rPr>
          <w:lang w:val="en-AU" w:eastAsia="en-AU"/>
        </w:rPr>
        <w:t xml:space="preserve">capacity to </w:t>
      </w:r>
      <w:r w:rsidR="007A127D" w:rsidRPr="00C14D55">
        <w:rPr>
          <w:lang w:val="en-AU" w:eastAsia="en-AU"/>
        </w:rPr>
        <w:t>act</w:t>
      </w:r>
      <w:r w:rsidR="000C751B" w:rsidRPr="00C14D55">
        <w:rPr>
          <w:lang w:val="en-AU" w:eastAsia="en-AU"/>
        </w:rPr>
        <w:t>.</w:t>
      </w:r>
    </w:p>
    <w:p w14:paraId="2DADA486" w14:textId="77777777" w:rsidR="000C751B" w:rsidRPr="00C14D55" w:rsidRDefault="000C751B" w:rsidP="004F537B">
      <w:pPr>
        <w:pStyle w:val="VCAAHeading2"/>
        <w:rPr>
          <w:lang w:val="en-AU"/>
        </w:rPr>
      </w:pPr>
      <w:bookmarkStart w:id="123" w:name="_Toc159241284"/>
      <w:r w:rsidRPr="00C14D55">
        <w:rPr>
          <w:lang w:val="en-AU"/>
        </w:rPr>
        <w:t>Area of Study 1</w:t>
      </w:r>
      <w:bookmarkEnd w:id="123"/>
    </w:p>
    <w:p w14:paraId="798D751A" w14:textId="77777777" w:rsidR="000C751B" w:rsidRPr="00C14D55" w:rsidRDefault="000C751B" w:rsidP="004F537B">
      <w:pPr>
        <w:pStyle w:val="VCAAHeading3"/>
        <w:rPr>
          <w:lang w:val="en-AU"/>
        </w:rPr>
      </w:pPr>
      <w:bookmarkStart w:id="124" w:name="_Toc130815919"/>
      <w:bookmarkStart w:id="125" w:name="_Toc159241285"/>
      <w:r w:rsidRPr="00C14D55">
        <w:rPr>
          <w:lang w:val="en-AU"/>
        </w:rPr>
        <w:t>Global health and human development</w:t>
      </w:r>
      <w:bookmarkEnd w:id="124"/>
      <w:bookmarkEnd w:id="125"/>
    </w:p>
    <w:p w14:paraId="42D27123" w14:textId="15861BE2" w:rsidR="000C751B" w:rsidRPr="00C14D55" w:rsidRDefault="002D0A30" w:rsidP="004F537B">
      <w:pPr>
        <w:pStyle w:val="VCAAbody"/>
        <w:rPr>
          <w:color w:val="000000"/>
          <w:lang w:val="en-AU" w:eastAsia="en-AU"/>
        </w:rPr>
      </w:pPr>
      <w:r>
        <w:rPr>
          <w:lang w:val="en-AU"/>
        </w:rPr>
        <w:t>In t</w:t>
      </w:r>
      <w:r w:rsidR="000C751B" w:rsidRPr="00C14D55">
        <w:rPr>
          <w:lang w:val="en-AU"/>
        </w:rPr>
        <w:t>his area of study</w:t>
      </w:r>
      <w:r>
        <w:rPr>
          <w:lang w:val="en-AU"/>
        </w:rPr>
        <w:t>, students</w:t>
      </w:r>
      <w:r w:rsidR="000C751B" w:rsidRPr="00C14D55">
        <w:rPr>
          <w:lang w:val="en-AU"/>
        </w:rPr>
        <w:t xml:space="preserve"> </w:t>
      </w:r>
      <w:r>
        <w:rPr>
          <w:color w:val="000000"/>
          <w:lang w:val="en-AU" w:eastAsia="en-AU"/>
        </w:rPr>
        <w:t>explore</w:t>
      </w:r>
      <w:r w:rsidR="000C751B" w:rsidRPr="00C14D55">
        <w:rPr>
          <w:color w:val="000000"/>
          <w:lang w:val="en-AU" w:eastAsia="en-AU"/>
        </w:rPr>
        <w:t xml:space="preserve"> </w:t>
      </w:r>
      <w:r w:rsidR="000C751B" w:rsidRPr="00C14D55">
        <w:rPr>
          <w:lang w:val="en-AU" w:eastAsia="en-AU"/>
        </w:rPr>
        <w:t>similarities and differences in health status and human development in low-, middle- and high-income countries, including Australia</w:t>
      </w:r>
      <w:r w:rsidR="000C751B" w:rsidRPr="00C14D55">
        <w:rPr>
          <w:color w:val="000000"/>
          <w:lang w:val="en-AU" w:eastAsia="en-AU"/>
        </w:rPr>
        <w:t xml:space="preserve">. </w:t>
      </w:r>
      <w:r w:rsidR="009B2952">
        <w:rPr>
          <w:color w:val="000000"/>
          <w:lang w:val="en-AU" w:eastAsia="en-AU"/>
        </w:rPr>
        <w:t>They</w:t>
      </w:r>
      <w:r w:rsidR="009B2952" w:rsidRPr="00C14D55">
        <w:rPr>
          <w:color w:val="000000"/>
          <w:lang w:val="en-AU" w:eastAsia="en-AU"/>
        </w:rPr>
        <w:t xml:space="preserve"> </w:t>
      </w:r>
      <w:r w:rsidR="000C751B" w:rsidRPr="00C14D55">
        <w:rPr>
          <w:color w:val="000000"/>
          <w:lang w:val="en-AU" w:eastAsia="en-AU"/>
        </w:rPr>
        <w:t xml:space="preserve">investigate a range of factors that contribute to health inequalities and study the concepts of sustainability and the Human Development Index to further their understanding of </w:t>
      </w:r>
      <w:r w:rsidR="000C751B" w:rsidRPr="00C14D55">
        <w:rPr>
          <w:lang w:val="en-AU" w:eastAsia="en-AU"/>
        </w:rPr>
        <w:t>health and human development in a global context</w:t>
      </w:r>
      <w:r w:rsidR="000C751B" w:rsidRPr="00C14D55">
        <w:rPr>
          <w:color w:val="000000"/>
          <w:lang w:val="en-AU" w:eastAsia="en-AU"/>
        </w:rPr>
        <w:t xml:space="preserve">. Students inquire into the effects of global trends on health </w:t>
      </w:r>
      <w:r w:rsidR="000C751B" w:rsidRPr="00C14D55">
        <w:rPr>
          <w:lang w:val="en-AU" w:eastAsia="en-AU"/>
        </w:rPr>
        <w:t>and human development.</w:t>
      </w:r>
    </w:p>
    <w:p w14:paraId="452E7BC6" w14:textId="77777777" w:rsidR="000C751B" w:rsidRPr="00C14D55" w:rsidRDefault="000C751B" w:rsidP="004F537B">
      <w:pPr>
        <w:pStyle w:val="VCAAHeading3"/>
        <w:rPr>
          <w:lang w:val="en-AU" w:eastAsia="en-AU"/>
        </w:rPr>
      </w:pPr>
      <w:bookmarkStart w:id="126" w:name="_Toc130815920"/>
      <w:bookmarkStart w:id="127" w:name="_Toc159241286"/>
      <w:r w:rsidRPr="00C14D55">
        <w:rPr>
          <w:lang w:val="en-AU" w:eastAsia="en-AU"/>
        </w:rPr>
        <w:t>Outcome 1</w:t>
      </w:r>
      <w:bookmarkEnd w:id="126"/>
      <w:bookmarkEnd w:id="127"/>
    </w:p>
    <w:p w14:paraId="234F331F" w14:textId="281EB64C" w:rsidR="000C751B" w:rsidRPr="00C14D55" w:rsidRDefault="000C751B" w:rsidP="004F537B">
      <w:pPr>
        <w:pStyle w:val="VCAAbody"/>
        <w:rPr>
          <w:lang w:val="en-AU"/>
        </w:rPr>
      </w:pPr>
      <w:r w:rsidRPr="00C14D55">
        <w:rPr>
          <w:lang w:val="en-AU"/>
        </w:rPr>
        <w:t>On completion of this unit</w:t>
      </w:r>
      <w:r w:rsidR="00D25B83">
        <w:rPr>
          <w:lang w:val="en-AU"/>
        </w:rPr>
        <w:t>,</w:t>
      </w:r>
      <w:r w:rsidRPr="00C14D55">
        <w:rPr>
          <w:lang w:val="en-AU"/>
        </w:rPr>
        <w:t xml:space="preserve"> the student should be able to analyse similarities and differences in health status and human development globally and analyse the factors that contribute to these differences.</w:t>
      </w:r>
    </w:p>
    <w:p w14:paraId="3068FE16" w14:textId="3D11F65C" w:rsidR="000C751B" w:rsidRPr="00C14D55" w:rsidRDefault="000C751B" w:rsidP="004F537B">
      <w:pPr>
        <w:pStyle w:val="VCAAbody"/>
        <w:rPr>
          <w:lang w:val="en-AU"/>
        </w:rPr>
      </w:pPr>
      <w:r w:rsidRPr="00C14D55">
        <w:rPr>
          <w:lang w:val="en-AU"/>
        </w:rPr>
        <w:t>To achieve this outcome</w:t>
      </w:r>
      <w:r w:rsidR="00D25B83">
        <w:rPr>
          <w:lang w:val="en-AU"/>
        </w:rPr>
        <w:t>,</w:t>
      </w:r>
      <w:r w:rsidRPr="00C14D55">
        <w:rPr>
          <w:lang w:val="en-AU"/>
        </w:rPr>
        <w:t xml:space="preserve"> the student will draw on </w:t>
      </w:r>
      <w:r w:rsidR="00AE6F59">
        <w:rPr>
          <w:lang w:val="en-AU"/>
        </w:rPr>
        <w:t xml:space="preserve">the </w:t>
      </w:r>
      <w:r w:rsidRPr="00C14D55">
        <w:rPr>
          <w:lang w:val="en-AU"/>
        </w:rPr>
        <w:t>key knowledge and key skills outlined in Area of Study 1.</w:t>
      </w:r>
    </w:p>
    <w:p w14:paraId="46E852F4" w14:textId="77777777" w:rsidR="000C751B" w:rsidRPr="00C14D55" w:rsidRDefault="000C751B" w:rsidP="004F537B">
      <w:pPr>
        <w:pStyle w:val="VCAAHeading5"/>
        <w:rPr>
          <w:lang w:val="en-AU"/>
        </w:rPr>
      </w:pPr>
      <w:bookmarkStart w:id="128" w:name="_Hlk128900698"/>
      <w:r w:rsidRPr="00C14D55">
        <w:rPr>
          <w:lang w:val="en-AU"/>
        </w:rPr>
        <w:t>Key knowledge</w:t>
      </w:r>
    </w:p>
    <w:p w14:paraId="59C346FC" w14:textId="77777777" w:rsidR="000C751B" w:rsidRPr="00C14D55" w:rsidRDefault="000C751B" w:rsidP="00BD6117">
      <w:pPr>
        <w:pStyle w:val="VCAAbullet"/>
      </w:pPr>
      <w:r w:rsidRPr="00C14D55">
        <w:t xml:space="preserve">the concept of human development </w:t>
      </w:r>
    </w:p>
    <w:p w14:paraId="3387246A" w14:textId="6F797B33" w:rsidR="000C751B" w:rsidRPr="00C14D55" w:rsidRDefault="000C751B" w:rsidP="00BD6117">
      <w:pPr>
        <w:pStyle w:val="VCAAbullet"/>
      </w:pPr>
      <w:r w:rsidRPr="00C14D55">
        <w:t>advantages and limitations of the Human Development Index</w:t>
      </w:r>
    </w:p>
    <w:p w14:paraId="628CBB71" w14:textId="24D15297" w:rsidR="000C751B" w:rsidRPr="00C14D55" w:rsidRDefault="000C751B" w:rsidP="00BD6117">
      <w:pPr>
        <w:pStyle w:val="VCAAbullet"/>
      </w:pPr>
      <w:r w:rsidRPr="00C14D55">
        <w:t xml:space="preserve">characteristics of </w:t>
      </w:r>
      <w:r w:rsidR="005F7DEE" w:rsidRPr="00C14D55">
        <w:t>low</w:t>
      </w:r>
      <w:r w:rsidRPr="00C14D55">
        <w:t xml:space="preserve">-, middle- and </w:t>
      </w:r>
      <w:r w:rsidR="005F7DEE" w:rsidRPr="00C14D55">
        <w:t>high</w:t>
      </w:r>
      <w:r w:rsidRPr="00C14D55">
        <w:t>-income countries</w:t>
      </w:r>
    </w:p>
    <w:p w14:paraId="4BFFBC16" w14:textId="2A195975" w:rsidR="000C751B" w:rsidRPr="00C14D55" w:rsidRDefault="000C751B" w:rsidP="00BD6117">
      <w:pPr>
        <w:pStyle w:val="VCAAbullet"/>
      </w:pPr>
      <w:r w:rsidRPr="00C14D55">
        <w:t xml:space="preserve">similarities and differences in health status and human development in low-, middle- and high-income countries, including </w:t>
      </w:r>
      <w:proofErr w:type="gramStart"/>
      <w:r w:rsidRPr="00C14D55">
        <w:t>Australia</w:t>
      </w:r>
      <w:proofErr w:type="gramEnd"/>
    </w:p>
    <w:p w14:paraId="756E7BA4" w14:textId="5CBFB54A" w:rsidR="009C5412" w:rsidRDefault="000C751B" w:rsidP="00BD6117">
      <w:pPr>
        <w:pStyle w:val="VCAAbullet"/>
      </w:pPr>
      <w:r w:rsidRPr="00C14D55">
        <w:t>factors that contribute to similarities and differences in health status and human development</w:t>
      </w:r>
      <w:r w:rsidR="009C5412">
        <w:t>:</w:t>
      </w:r>
    </w:p>
    <w:p w14:paraId="73CE3470" w14:textId="54AB3337" w:rsidR="009C5412" w:rsidRDefault="000C751B" w:rsidP="00BD6117">
      <w:pPr>
        <w:pStyle w:val="VCAAbulletlevel2"/>
      </w:pPr>
      <w:r w:rsidRPr="00C14D55">
        <w:t xml:space="preserve">access to safe water </w:t>
      </w:r>
    </w:p>
    <w:p w14:paraId="4F5B46C3" w14:textId="46D8AE08" w:rsidR="009C5412" w:rsidRDefault="000C751B" w:rsidP="00BD6117">
      <w:pPr>
        <w:pStyle w:val="VCAAbulletlevel2"/>
      </w:pPr>
      <w:r w:rsidRPr="00C14D55">
        <w:t>sanitation</w:t>
      </w:r>
    </w:p>
    <w:p w14:paraId="44662337" w14:textId="23FB36C1" w:rsidR="009C5412" w:rsidRDefault="000C751B" w:rsidP="00BD6117">
      <w:pPr>
        <w:pStyle w:val="VCAAbulletlevel2"/>
      </w:pPr>
      <w:r w:rsidRPr="00C14D55">
        <w:t>poverty</w:t>
      </w:r>
    </w:p>
    <w:p w14:paraId="2CDF7042" w14:textId="71CA7C19" w:rsidR="000C751B" w:rsidRPr="00C14D55" w:rsidRDefault="000C751B" w:rsidP="00BD6117">
      <w:pPr>
        <w:pStyle w:val="VCAAbulletlevel2"/>
      </w:pPr>
      <w:r w:rsidRPr="00C14D55">
        <w:t xml:space="preserve">discrimination (race, religion, </w:t>
      </w:r>
      <w:r w:rsidR="00E125E7" w:rsidRPr="00C14D55">
        <w:t>sex</w:t>
      </w:r>
      <w:r w:rsidRPr="00C14D55">
        <w:t xml:space="preserve">, sexual </w:t>
      </w:r>
      <w:proofErr w:type="gramStart"/>
      <w:r w:rsidRPr="00C14D55">
        <w:t>orientation</w:t>
      </w:r>
      <w:proofErr w:type="gramEnd"/>
      <w:r w:rsidRPr="00C14D55">
        <w:t xml:space="preserve"> and gender identity)</w:t>
      </w:r>
    </w:p>
    <w:p w14:paraId="12E26CC5" w14:textId="41B3F9B0" w:rsidR="000C751B" w:rsidRPr="00C14D55" w:rsidRDefault="000C751B" w:rsidP="00BD6117">
      <w:pPr>
        <w:pStyle w:val="VCAAbullet"/>
      </w:pPr>
      <w:r w:rsidRPr="00C14D55">
        <w:lastRenderedPageBreak/>
        <w:t xml:space="preserve">the concept and dimensions of sustainability (environmental, </w:t>
      </w:r>
      <w:proofErr w:type="gramStart"/>
      <w:r w:rsidRPr="00C14D55">
        <w:t>social</w:t>
      </w:r>
      <w:proofErr w:type="gramEnd"/>
      <w:r w:rsidR="00432BDB">
        <w:t xml:space="preserve"> and</w:t>
      </w:r>
      <w:r w:rsidR="00432BDB" w:rsidRPr="00C14D55">
        <w:t xml:space="preserve"> </w:t>
      </w:r>
      <w:r w:rsidRPr="00C14D55">
        <w:t xml:space="preserve">economic) and its role in the promotion of health and human development </w:t>
      </w:r>
    </w:p>
    <w:p w14:paraId="13737E69" w14:textId="77777777" w:rsidR="000C751B" w:rsidRPr="00C14D55" w:rsidRDefault="000C751B" w:rsidP="00BD6117">
      <w:pPr>
        <w:pStyle w:val="VCAAbullet"/>
      </w:pPr>
      <w:r w:rsidRPr="00C14D55">
        <w:t xml:space="preserve">implications for health and human development of global trends including: </w:t>
      </w:r>
    </w:p>
    <w:p w14:paraId="50C54880" w14:textId="779E8798" w:rsidR="000C751B" w:rsidRPr="00C14D55" w:rsidRDefault="000C751B" w:rsidP="00BD6117">
      <w:pPr>
        <w:pStyle w:val="VCAAbulletlevel2"/>
      </w:pPr>
      <w:r w:rsidRPr="00C14D55">
        <w:t xml:space="preserve">climate change (rising sea levels, changing weather patterns and </w:t>
      </w:r>
      <w:r w:rsidR="00CE4C36">
        <w:t>increasing number of</w:t>
      </w:r>
      <w:r w:rsidR="00CE4C36" w:rsidRPr="00C14D55">
        <w:t xml:space="preserve"> </w:t>
      </w:r>
      <w:r w:rsidRPr="00C14D55">
        <w:t>extreme weather events)</w:t>
      </w:r>
    </w:p>
    <w:p w14:paraId="3B7B45D8" w14:textId="77777777" w:rsidR="000C751B" w:rsidRPr="00C14D55" w:rsidRDefault="000C751B" w:rsidP="00BD6117">
      <w:pPr>
        <w:pStyle w:val="VCAAbulletlevel2"/>
      </w:pPr>
      <w:r w:rsidRPr="00C14D55">
        <w:t xml:space="preserve">conflict </w:t>
      </w:r>
    </w:p>
    <w:p w14:paraId="0333462A" w14:textId="77777777" w:rsidR="000C751B" w:rsidRPr="00C14D55" w:rsidRDefault="000C751B" w:rsidP="00BD6117">
      <w:pPr>
        <w:pStyle w:val="VCAAbulletlevel2"/>
      </w:pPr>
      <w:r w:rsidRPr="00C14D55">
        <w:t>mass migration</w:t>
      </w:r>
    </w:p>
    <w:p w14:paraId="611772CD" w14:textId="4A504413" w:rsidR="000C751B" w:rsidRPr="00C14D55" w:rsidRDefault="000C751B" w:rsidP="00BD6117">
      <w:pPr>
        <w:pStyle w:val="VCAAbulletlevel2"/>
      </w:pPr>
      <w:r w:rsidRPr="00C14D55">
        <w:t>increased world trade</w:t>
      </w:r>
      <w:r w:rsidR="009C5412">
        <w:t xml:space="preserve"> (</w:t>
      </w:r>
      <w:r w:rsidRPr="00C14D55">
        <w:t>global distribution and marketing of tobacco products, e-cigarette products and processed foods</w:t>
      </w:r>
      <w:r w:rsidR="009C5412">
        <w:t>)</w:t>
      </w:r>
    </w:p>
    <w:p w14:paraId="5B9C0F7F" w14:textId="35FCBDE3" w:rsidR="000C751B" w:rsidRPr="00C14D55" w:rsidRDefault="001952D7" w:rsidP="00BD6117">
      <w:pPr>
        <w:pStyle w:val="VCAAbulletlevel2"/>
      </w:pPr>
      <w:r>
        <w:t>tourism</w:t>
      </w:r>
      <w:r w:rsidR="000C751B" w:rsidRPr="00C14D55">
        <w:t xml:space="preserve"> </w:t>
      </w:r>
    </w:p>
    <w:p w14:paraId="0D0B50A2" w14:textId="710B859D" w:rsidR="000C751B" w:rsidRPr="00C14D55" w:rsidRDefault="000C751B" w:rsidP="00BD6117">
      <w:pPr>
        <w:pStyle w:val="VCAAbulletlevel2"/>
      </w:pPr>
      <w:r w:rsidRPr="00C14D55">
        <w:t>digital technologies</w:t>
      </w:r>
      <w:r w:rsidR="00F94630">
        <w:t>.</w:t>
      </w:r>
    </w:p>
    <w:bookmarkEnd w:id="128"/>
    <w:p w14:paraId="062113FF" w14:textId="77777777" w:rsidR="000C751B" w:rsidRPr="00C14D55" w:rsidRDefault="000C751B" w:rsidP="004F537B">
      <w:pPr>
        <w:pStyle w:val="VCAAHeading5"/>
        <w:rPr>
          <w:lang w:val="en-AU"/>
        </w:rPr>
      </w:pPr>
      <w:r w:rsidRPr="00C14D55">
        <w:rPr>
          <w:lang w:val="en-AU"/>
        </w:rPr>
        <w:t>Key skills</w:t>
      </w:r>
    </w:p>
    <w:p w14:paraId="3E08D981" w14:textId="77777777" w:rsidR="000C751B" w:rsidRPr="00C14D55" w:rsidRDefault="000C751B" w:rsidP="00BD6117">
      <w:pPr>
        <w:pStyle w:val="VCAAbullet"/>
      </w:pPr>
      <w:r w:rsidRPr="00C14D55">
        <w:t xml:space="preserve">explain the concept of human </w:t>
      </w:r>
      <w:proofErr w:type="gramStart"/>
      <w:r w:rsidRPr="00C14D55">
        <w:t>development</w:t>
      </w:r>
      <w:proofErr w:type="gramEnd"/>
    </w:p>
    <w:p w14:paraId="748D08B8" w14:textId="4EC895C0" w:rsidR="000C751B" w:rsidRPr="00C14D55" w:rsidRDefault="000C751B" w:rsidP="00BD6117">
      <w:pPr>
        <w:pStyle w:val="VCAAbullet"/>
      </w:pPr>
      <w:r w:rsidRPr="00C14D55">
        <w:t xml:space="preserve">explain the Human Development Index and evaluate its usefulness in measuring human development </w:t>
      </w:r>
      <w:r w:rsidR="00944C7D">
        <w:t>in</w:t>
      </w:r>
      <w:r w:rsidR="00944C7D" w:rsidRPr="00C14D55">
        <w:t xml:space="preserve"> </w:t>
      </w:r>
      <w:r w:rsidR="00944C7D">
        <w:t xml:space="preserve">different </w:t>
      </w:r>
      <w:proofErr w:type="gramStart"/>
      <w:r w:rsidRPr="00C14D55">
        <w:t>countries</w:t>
      </w:r>
      <w:proofErr w:type="gramEnd"/>
    </w:p>
    <w:p w14:paraId="61947965" w14:textId="111C88C2" w:rsidR="000C751B" w:rsidRPr="00C14D55" w:rsidRDefault="000C751B" w:rsidP="00BD6117">
      <w:pPr>
        <w:pStyle w:val="VCAAbullet"/>
      </w:pPr>
      <w:r w:rsidRPr="00C14D55">
        <w:t xml:space="preserve">describe characteristics of </w:t>
      </w:r>
      <w:r w:rsidR="005F7DEE" w:rsidRPr="00C14D55">
        <w:t>low</w:t>
      </w:r>
      <w:r w:rsidRPr="00C14D55">
        <w:t xml:space="preserve">-, middle- and </w:t>
      </w:r>
      <w:r w:rsidR="005F7DEE" w:rsidRPr="00C14D55">
        <w:t>high</w:t>
      </w:r>
      <w:r w:rsidRPr="00C14D55">
        <w:t>-income countries</w:t>
      </w:r>
    </w:p>
    <w:p w14:paraId="18020FF4" w14:textId="77777777" w:rsidR="000C751B" w:rsidRPr="00C14D55" w:rsidRDefault="000C751B" w:rsidP="00BD6117">
      <w:pPr>
        <w:pStyle w:val="VCAAbullet"/>
      </w:pPr>
      <w:r w:rsidRPr="00C14D55">
        <w:t xml:space="preserve">evaluate data to analyse similarities and differences between countries in relation to health status and human </w:t>
      </w:r>
      <w:proofErr w:type="gramStart"/>
      <w:r w:rsidRPr="00C14D55">
        <w:t>development</w:t>
      </w:r>
      <w:proofErr w:type="gramEnd"/>
    </w:p>
    <w:p w14:paraId="222ACB93" w14:textId="77777777" w:rsidR="000C751B" w:rsidRPr="00C14D55" w:rsidRDefault="000C751B" w:rsidP="00BD6117">
      <w:pPr>
        <w:pStyle w:val="VCAAbullet"/>
      </w:pPr>
      <w:r w:rsidRPr="00C14D55">
        <w:t xml:space="preserve">analyse factors that contribute to health status and human development in different </w:t>
      </w:r>
      <w:proofErr w:type="gramStart"/>
      <w:r w:rsidRPr="00C14D55">
        <w:t>countries</w:t>
      </w:r>
      <w:proofErr w:type="gramEnd"/>
    </w:p>
    <w:p w14:paraId="5ED08843" w14:textId="0BE6A2D0" w:rsidR="000C751B" w:rsidRPr="00C14D55" w:rsidRDefault="000C751B" w:rsidP="00BD6117">
      <w:pPr>
        <w:pStyle w:val="VCAAbullet"/>
      </w:pPr>
      <w:r w:rsidRPr="00C14D55">
        <w:t xml:space="preserve">compare health data and other information to analyse reasons for health inequalities within and between </w:t>
      </w:r>
      <w:proofErr w:type="gramStart"/>
      <w:r w:rsidR="00944C7D">
        <w:t>countries</w:t>
      </w:r>
      <w:proofErr w:type="gramEnd"/>
    </w:p>
    <w:p w14:paraId="01086595" w14:textId="3ECB3624" w:rsidR="000C751B" w:rsidRPr="00C14D55" w:rsidRDefault="000C751B" w:rsidP="00BD6117">
      <w:pPr>
        <w:pStyle w:val="VCAAbullet"/>
      </w:pPr>
      <w:r w:rsidRPr="00C14D55">
        <w:t>explain sustainability (environmental, social</w:t>
      </w:r>
      <w:r w:rsidR="00AC0406">
        <w:t xml:space="preserve"> and</w:t>
      </w:r>
      <w:r w:rsidRPr="00C14D55">
        <w:t xml:space="preserve"> economic) and its importance in the promotion of health and human development in a global </w:t>
      </w:r>
      <w:proofErr w:type="gramStart"/>
      <w:r w:rsidRPr="00C14D55">
        <w:t>context</w:t>
      </w:r>
      <w:proofErr w:type="gramEnd"/>
    </w:p>
    <w:p w14:paraId="3A2DC68B" w14:textId="0088463C" w:rsidR="000C751B" w:rsidRPr="00C14D55" w:rsidRDefault="000C751B" w:rsidP="00BD6117">
      <w:pPr>
        <w:pStyle w:val="VCAAbullet"/>
      </w:pPr>
      <w:r w:rsidRPr="00C14D55">
        <w:t xml:space="preserve">analyse the implications for health and human development of </w:t>
      </w:r>
      <w:proofErr w:type="gramStart"/>
      <w:r w:rsidRPr="00C14D55">
        <w:t>particular global</w:t>
      </w:r>
      <w:proofErr w:type="gramEnd"/>
      <w:r w:rsidRPr="00C14D55">
        <w:t xml:space="preserve"> trends</w:t>
      </w:r>
      <w:r w:rsidR="001E36F8">
        <w:t>.</w:t>
      </w:r>
    </w:p>
    <w:p w14:paraId="09268BEE" w14:textId="640A69CD" w:rsidR="000C751B" w:rsidRPr="00C14D55" w:rsidRDefault="000C751B" w:rsidP="004F537B">
      <w:pPr>
        <w:pStyle w:val="VCAAHeading2"/>
        <w:rPr>
          <w:lang w:val="en-AU"/>
        </w:rPr>
      </w:pPr>
      <w:bookmarkStart w:id="129" w:name="_Toc159241287"/>
      <w:r w:rsidRPr="00C14D55">
        <w:rPr>
          <w:lang w:val="en-AU"/>
        </w:rPr>
        <w:t>Area of Study 2</w:t>
      </w:r>
      <w:bookmarkEnd w:id="129"/>
    </w:p>
    <w:p w14:paraId="26D2E8B4" w14:textId="77777777" w:rsidR="000C751B" w:rsidRPr="00C14D55" w:rsidRDefault="000C751B" w:rsidP="004F537B">
      <w:pPr>
        <w:pStyle w:val="VCAAHeading3"/>
        <w:rPr>
          <w:lang w:val="en-AU"/>
        </w:rPr>
      </w:pPr>
      <w:bookmarkStart w:id="130" w:name="_Toc130815922"/>
      <w:bookmarkStart w:id="131" w:name="_Toc159241288"/>
      <w:r w:rsidRPr="00C14D55">
        <w:rPr>
          <w:lang w:val="en-AU"/>
        </w:rPr>
        <w:t>Health and the Sustainable Development Goals</w:t>
      </w:r>
      <w:bookmarkEnd w:id="130"/>
      <w:bookmarkEnd w:id="131"/>
    </w:p>
    <w:p w14:paraId="0436008F" w14:textId="776411BF" w:rsidR="000C751B" w:rsidRPr="00C14D55" w:rsidRDefault="001E36F8" w:rsidP="004F537B">
      <w:pPr>
        <w:pStyle w:val="VCAAbody"/>
        <w:rPr>
          <w:lang w:val="en-AU" w:eastAsia="en-AU"/>
        </w:rPr>
      </w:pPr>
      <w:r>
        <w:rPr>
          <w:lang w:val="en-AU"/>
        </w:rPr>
        <w:t>In t</w:t>
      </w:r>
      <w:r w:rsidR="000C751B" w:rsidRPr="00C14D55">
        <w:rPr>
          <w:lang w:val="en-AU"/>
        </w:rPr>
        <w:t>his area of study</w:t>
      </w:r>
      <w:r w:rsidR="009B2952">
        <w:rPr>
          <w:lang w:val="en-AU"/>
        </w:rPr>
        <w:t>,</w:t>
      </w:r>
      <w:r>
        <w:rPr>
          <w:lang w:val="en-AU"/>
        </w:rPr>
        <w:t xml:space="preserve"> students</w:t>
      </w:r>
      <w:r w:rsidR="000C751B" w:rsidRPr="00C14D55">
        <w:rPr>
          <w:lang w:val="en-AU"/>
        </w:rPr>
        <w:t xml:space="preserve"> </w:t>
      </w:r>
      <w:r w:rsidR="000C751B" w:rsidRPr="00C14D55">
        <w:rPr>
          <w:lang w:val="en-AU" w:eastAsia="en-AU"/>
        </w:rPr>
        <w:t xml:space="preserve">look at action for promoting health globally. </w:t>
      </w:r>
      <w:r>
        <w:rPr>
          <w:lang w:val="en-AU" w:eastAsia="en-AU"/>
        </w:rPr>
        <w:t>They</w:t>
      </w:r>
      <w:r w:rsidRPr="00C14D55">
        <w:rPr>
          <w:lang w:val="en-AU" w:eastAsia="en-AU"/>
        </w:rPr>
        <w:t xml:space="preserve"> </w:t>
      </w:r>
      <w:r w:rsidR="00B356C6" w:rsidRPr="00C14D55">
        <w:rPr>
          <w:lang w:val="en-AU" w:eastAsia="en-AU"/>
        </w:rPr>
        <w:t xml:space="preserve">consider </w:t>
      </w:r>
      <w:r w:rsidR="000C751B" w:rsidRPr="00C14D55">
        <w:rPr>
          <w:lang w:val="en-AU" w:eastAsia="en-AU"/>
        </w:rPr>
        <w:t xml:space="preserve">the importance of and relationships between the UN’s SDGs, focusing on their promotion of health and human development. Students investigate the </w:t>
      </w:r>
      <w:r w:rsidR="006A2F4F">
        <w:rPr>
          <w:lang w:val="en-AU" w:eastAsia="en-AU"/>
        </w:rPr>
        <w:t>goal and objectives</w:t>
      </w:r>
      <w:r w:rsidR="000C751B" w:rsidRPr="00C14D55">
        <w:rPr>
          <w:lang w:val="en-AU" w:eastAsia="en-AU"/>
        </w:rPr>
        <w:t xml:space="preserve"> of the WHO and evaluate Australia’s aid program and the role of non-government organisations. They reflect on meaningful and achievable individual and social actions that could contribute to the work of national and international organisations that promote health and wellbeing.</w:t>
      </w:r>
    </w:p>
    <w:p w14:paraId="34843C1F" w14:textId="77777777" w:rsidR="000C751B" w:rsidRPr="00C14D55" w:rsidRDefault="000C751B" w:rsidP="004F537B">
      <w:pPr>
        <w:pStyle w:val="VCAAHeading3"/>
        <w:rPr>
          <w:lang w:val="en-AU" w:eastAsia="en-AU"/>
        </w:rPr>
      </w:pPr>
      <w:bookmarkStart w:id="132" w:name="_Toc130815923"/>
      <w:bookmarkStart w:id="133" w:name="_Toc159241289"/>
      <w:r w:rsidRPr="00C14D55">
        <w:rPr>
          <w:lang w:val="en-AU" w:eastAsia="en-AU"/>
        </w:rPr>
        <w:t>Outcome 2</w:t>
      </w:r>
      <w:bookmarkEnd w:id="132"/>
      <w:bookmarkEnd w:id="133"/>
    </w:p>
    <w:p w14:paraId="50035391" w14:textId="5B1F8BB8" w:rsidR="000C751B" w:rsidRPr="00C14D55" w:rsidRDefault="000C751B" w:rsidP="004F537B">
      <w:pPr>
        <w:pStyle w:val="VCAAbody"/>
        <w:rPr>
          <w:lang w:val="en-AU" w:eastAsia="en-AU"/>
        </w:rPr>
      </w:pPr>
      <w:r w:rsidRPr="00C14D55">
        <w:rPr>
          <w:szCs w:val="20"/>
          <w:lang w:val="en-AU"/>
        </w:rPr>
        <w:t>On completion of this unit</w:t>
      </w:r>
      <w:r w:rsidR="00574637">
        <w:rPr>
          <w:szCs w:val="20"/>
          <w:lang w:val="en-AU"/>
        </w:rPr>
        <w:t>,</w:t>
      </w:r>
      <w:r w:rsidRPr="00C14D55">
        <w:rPr>
          <w:szCs w:val="20"/>
          <w:lang w:val="en-AU"/>
        </w:rPr>
        <w:t xml:space="preserve"> the student should be able to</w:t>
      </w:r>
      <w:r w:rsidRPr="00C14D55">
        <w:rPr>
          <w:lang w:val="en-AU"/>
        </w:rPr>
        <w:t xml:space="preserve"> </w:t>
      </w:r>
      <w:r w:rsidRPr="00C14D55">
        <w:rPr>
          <w:lang w:val="en-AU" w:eastAsia="en-AU"/>
        </w:rPr>
        <w:t>analyse</w:t>
      </w:r>
      <w:r w:rsidR="00F66CC3">
        <w:rPr>
          <w:lang w:val="en-AU" w:eastAsia="en-AU"/>
        </w:rPr>
        <w:t xml:space="preserve"> the</w:t>
      </w:r>
      <w:r w:rsidRPr="00C14D55">
        <w:rPr>
          <w:lang w:val="en-AU" w:eastAsia="en-AU"/>
        </w:rPr>
        <w:t xml:space="preserve"> relationships between the SDGs and their role in the promotion of health and human </w:t>
      </w:r>
      <w:r w:rsidR="00C727EE" w:rsidRPr="00C14D55">
        <w:rPr>
          <w:lang w:val="en-AU" w:eastAsia="en-AU"/>
        </w:rPr>
        <w:t>development</w:t>
      </w:r>
      <w:r w:rsidR="00C727EE">
        <w:rPr>
          <w:lang w:val="en-AU" w:eastAsia="en-AU"/>
        </w:rPr>
        <w:t xml:space="preserve"> and</w:t>
      </w:r>
      <w:r w:rsidRPr="00C14D55">
        <w:rPr>
          <w:lang w:val="en-AU" w:eastAsia="en-AU"/>
        </w:rPr>
        <w:t xml:space="preserve"> evaluate the effectiveness of global aid programs.</w:t>
      </w:r>
    </w:p>
    <w:p w14:paraId="4E5773EF" w14:textId="5CF23D51" w:rsidR="000C751B" w:rsidRPr="00C14D55" w:rsidRDefault="000C751B" w:rsidP="004F537B">
      <w:pPr>
        <w:pStyle w:val="VCAAbody"/>
        <w:rPr>
          <w:lang w:val="en-AU"/>
        </w:rPr>
      </w:pPr>
      <w:r w:rsidRPr="00C14D55">
        <w:rPr>
          <w:lang w:val="en-AU"/>
        </w:rPr>
        <w:t>To achieve this outcome</w:t>
      </w:r>
      <w:r w:rsidR="00574637">
        <w:rPr>
          <w:lang w:val="en-AU"/>
        </w:rPr>
        <w:t>,</w:t>
      </w:r>
      <w:r w:rsidRPr="00C14D55">
        <w:rPr>
          <w:lang w:val="en-AU"/>
        </w:rPr>
        <w:t xml:space="preserve"> the student will draw on </w:t>
      </w:r>
      <w:r w:rsidR="00AE6F59">
        <w:rPr>
          <w:lang w:val="en-AU"/>
        </w:rPr>
        <w:t xml:space="preserve">the </w:t>
      </w:r>
      <w:r w:rsidRPr="00C14D55">
        <w:rPr>
          <w:lang w:val="en-AU"/>
        </w:rPr>
        <w:t>key knowledge and key skills outlined in Area of Study 2.</w:t>
      </w:r>
    </w:p>
    <w:p w14:paraId="0C076A06" w14:textId="77777777" w:rsidR="000C751B" w:rsidRPr="00C14D55" w:rsidRDefault="000C751B" w:rsidP="004F537B">
      <w:pPr>
        <w:pStyle w:val="VCAAHeading5"/>
        <w:rPr>
          <w:lang w:val="en-AU"/>
        </w:rPr>
      </w:pPr>
      <w:r w:rsidRPr="00C14D55">
        <w:rPr>
          <w:lang w:val="en-AU"/>
        </w:rPr>
        <w:t>Key knowledge</w:t>
      </w:r>
    </w:p>
    <w:p w14:paraId="137B25A0" w14:textId="37675EF0" w:rsidR="000C751B" w:rsidRPr="00C14D55" w:rsidRDefault="000C751B" w:rsidP="00BD6117">
      <w:pPr>
        <w:pStyle w:val="VCAAbullet"/>
      </w:pPr>
      <w:r w:rsidRPr="00C14D55">
        <w:t xml:space="preserve">the importance of the UN’s SDGs for </w:t>
      </w:r>
      <w:r w:rsidR="00D76554">
        <w:t>health and human development in a global context</w:t>
      </w:r>
    </w:p>
    <w:p w14:paraId="765F1C80" w14:textId="3ED95246" w:rsidR="000C751B" w:rsidRPr="00C14D55" w:rsidRDefault="000C751B" w:rsidP="00BD6117">
      <w:pPr>
        <w:pStyle w:val="VCAAbullet"/>
      </w:pPr>
      <w:r w:rsidRPr="00C14D55">
        <w:t xml:space="preserve">key features of SDG 3 </w:t>
      </w:r>
      <w:r w:rsidR="00944C7D">
        <w:t>(</w:t>
      </w:r>
      <w:r w:rsidRPr="00C14D55">
        <w:t>‘Ensure healthy lives and promote wellbeing for all at all ages’</w:t>
      </w:r>
      <w:r w:rsidR="00944C7D">
        <w:t>)</w:t>
      </w:r>
    </w:p>
    <w:p w14:paraId="39D54F3D" w14:textId="77777777" w:rsidR="000C751B" w:rsidRPr="00C14D55" w:rsidRDefault="000C751B" w:rsidP="00BD6117">
      <w:pPr>
        <w:pStyle w:val="VCAAbullet"/>
      </w:pPr>
      <w:r w:rsidRPr="00C14D55">
        <w:t>relationships between SDG 3 and SDGs 1, 2, 4, 5, 6 and 12</w:t>
      </w:r>
    </w:p>
    <w:p w14:paraId="474DB100" w14:textId="5509D1AF" w:rsidR="000C751B" w:rsidRPr="00C14D55" w:rsidRDefault="006A2F4F" w:rsidP="00BD6117">
      <w:pPr>
        <w:pStyle w:val="VCAAbullet"/>
      </w:pPr>
      <w:r>
        <w:t>goal and objectives</w:t>
      </w:r>
      <w:r w:rsidR="000C751B" w:rsidRPr="00C14D55">
        <w:t xml:space="preserve"> of the WHO</w:t>
      </w:r>
    </w:p>
    <w:p w14:paraId="0A8C1EAD" w14:textId="1F87EFF5" w:rsidR="000C751B" w:rsidRPr="00C14D55" w:rsidRDefault="000C751B" w:rsidP="00BD6117">
      <w:pPr>
        <w:pStyle w:val="VCAAbullet"/>
      </w:pPr>
      <w:r w:rsidRPr="00C14D55">
        <w:lastRenderedPageBreak/>
        <w:t>the purpose and characteristics of different types of aid</w:t>
      </w:r>
      <w:r w:rsidR="008905B2">
        <w:t>,</w:t>
      </w:r>
      <w:r w:rsidRPr="00C14D55">
        <w:t xml:space="preserve"> including bilateral, multilateral and </w:t>
      </w:r>
      <w:r w:rsidR="00544D03">
        <w:t xml:space="preserve">aid provided by </w:t>
      </w:r>
      <w:r w:rsidRPr="00C14D55">
        <w:t xml:space="preserve">non-government organisations </w:t>
      </w:r>
      <w:r w:rsidR="000C24FF">
        <w:t>providing</w:t>
      </w:r>
      <w:r w:rsidRPr="00C14D55">
        <w:t xml:space="preserve"> humanitarian assistance, reducing poverty</w:t>
      </w:r>
      <w:r w:rsidR="00AC1A53">
        <w:t xml:space="preserve">, </w:t>
      </w:r>
      <w:r w:rsidR="00CE4C36">
        <w:t>improving</w:t>
      </w:r>
      <w:r w:rsidR="00CE4C36" w:rsidRPr="00C14D55">
        <w:t xml:space="preserve"> </w:t>
      </w:r>
      <w:r w:rsidRPr="00C14D55">
        <w:t>human development and promoting health</w:t>
      </w:r>
      <w:r w:rsidR="000C24FF">
        <w:t>)</w:t>
      </w:r>
    </w:p>
    <w:p w14:paraId="41445B6D" w14:textId="68C1BB21" w:rsidR="00AD24D3" w:rsidRPr="00F269A7" w:rsidRDefault="000C751B" w:rsidP="00BD6117">
      <w:pPr>
        <w:pStyle w:val="VCAAbullet"/>
      </w:pPr>
      <w:r w:rsidRPr="00C14D55">
        <w:t>the role of Australia’s aid program in supporting the achievement of the SDGs and the partnerships involved</w:t>
      </w:r>
    </w:p>
    <w:p w14:paraId="4FF9B099" w14:textId="77777777" w:rsidR="000C751B" w:rsidRPr="00C14D55" w:rsidRDefault="000C751B" w:rsidP="00BD6117">
      <w:pPr>
        <w:pStyle w:val="VCAAbullet"/>
      </w:pPr>
      <w:r w:rsidRPr="00C14D55">
        <w:t>features of effective aid programs</w:t>
      </w:r>
    </w:p>
    <w:p w14:paraId="38F8CFB3" w14:textId="64E53C83" w:rsidR="000C751B" w:rsidRPr="00C14D55" w:rsidRDefault="000C751B" w:rsidP="00BD6117">
      <w:pPr>
        <w:pStyle w:val="VCAAbullet"/>
      </w:pPr>
      <w:r w:rsidRPr="00C14D55">
        <w:t>ways in which individuals can engage with communities and/or national and international organisations to take individual and social action that promotes health and human development</w:t>
      </w:r>
      <w:r w:rsidR="00257CB0">
        <w:t>.</w:t>
      </w:r>
    </w:p>
    <w:p w14:paraId="3C44D201" w14:textId="77777777" w:rsidR="000C751B" w:rsidRPr="00C14D55" w:rsidRDefault="000C751B" w:rsidP="004F537B">
      <w:pPr>
        <w:pStyle w:val="VCAAHeading5"/>
        <w:rPr>
          <w:lang w:val="en-AU"/>
        </w:rPr>
      </w:pPr>
      <w:r w:rsidRPr="00C14D55">
        <w:rPr>
          <w:lang w:val="en-AU"/>
        </w:rPr>
        <w:t>Key skills</w:t>
      </w:r>
    </w:p>
    <w:p w14:paraId="3739513F" w14:textId="17A1AC40" w:rsidR="000C751B" w:rsidRPr="00C14D55" w:rsidRDefault="000C751B" w:rsidP="00BD6117">
      <w:pPr>
        <w:pStyle w:val="VCAAbullet"/>
      </w:pPr>
      <w:r w:rsidRPr="00C14D55">
        <w:t xml:space="preserve">discuss </w:t>
      </w:r>
      <w:r w:rsidR="00B356C6" w:rsidRPr="00C14D55">
        <w:t xml:space="preserve">the </w:t>
      </w:r>
      <w:r w:rsidRPr="00C14D55">
        <w:t>importance of the UN’s SDGs for global health and human development</w:t>
      </w:r>
    </w:p>
    <w:p w14:paraId="2CEEB268" w14:textId="3059C96D" w:rsidR="000C751B" w:rsidRPr="00C14D55" w:rsidRDefault="000C751B" w:rsidP="00BD6117">
      <w:pPr>
        <w:pStyle w:val="VCAAbullet"/>
        <w:rPr>
          <w:rFonts w:eastAsia="Arial"/>
          <w:lang w:eastAsia="en-AU"/>
        </w:rPr>
      </w:pPr>
      <w:r w:rsidRPr="00C14D55">
        <w:t xml:space="preserve">describe </w:t>
      </w:r>
      <w:r w:rsidR="00B356C6" w:rsidRPr="00C14D55">
        <w:t xml:space="preserve">the </w:t>
      </w:r>
      <w:r w:rsidRPr="00C14D55">
        <w:t xml:space="preserve">key features of SDG 3 </w:t>
      </w:r>
    </w:p>
    <w:p w14:paraId="5C3F156C" w14:textId="232EB081" w:rsidR="000C751B" w:rsidRPr="00C14D55" w:rsidRDefault="000C751B" w:rsidP="00BD6117">
      <w:pPr>
        <w:pStyle w:val="VCAAbullet"/>
        <w:rPr>
          <w:rFonts w:eastAsia="Arial"/>
          <w:color w:val="000000"/>
          <w:lang w:eastAsia="en-AU"/>
        </w:rPr>
      </w:pPr>
      <w:r w:rsidRPr="00C14D55">
        <w:t xml:space="preserve">analyse the relationships between SDG 3 and other SDGs in </w:t>
      </w:r>
      <w:r w:rsidR="00C727EE">
        <w:t xml:space="preserve">promoting </w:t>
      </w:r>
      <w:r w:rsidRPr="00C14D55">
        <w:t>health and human development globally</w:t>
      </w:r>
    </w:p>
    <w:p w14:paraId="7B25C1AC" w14:textId="74BE05CE" w:rsidR="000C751B" w:rsidRPr="00C14D55" w:rsidRDefault="000C751B" w:rsidP="00BD6117">
      <w:pPr>
        <w:pStyle w:val="VCAAbullet"/>
      </w:pPr>
      <w:r w:rsidRPr="00C14D55">
        <w:t xml:space="preserve">explain the </w:t>
      </w:r>
      <w:r w:rsidR="006A2F4F">
        <w:t>goal and objectives</w:t>
      </w:r>
      <w:r w:rsidRPr="00C14D55">
        <w:t xml:space="preserve"> of the </w:t>
      </w:r>
      <w:proofErr w:type="gramStart"/>
      <w:r w:rsidRPr="00C14D55">
        <w:t>WHO</w:t>
      </w:r>
      <w:proofErr w:type="gramEnd"/>
    </w:p>
    <w:p w14:paraId="7283E3D5" w14:textId="38F1AADE" w:rsidR="000C751B" w:rsidRPr="00C14D55" w:rsidRDefault="000C751B" w:rsidP="00BD6117">
      <w:pPr>
        <w:pStyle w:val="VCAAbullet"/>
      </w:pPr>
      <w:r w:rsidRPr="00C14D55">
        <w:t xml:space="preserve">analyse how the WHO </w:t>
      </w:r>
      <w:r w:rsidR="006A2F4F">
        <w:t>goal and objectives</w:t>
      </w:r>
      <w:r w:rsidRPr="00C14D55">
        <w:t xml:space="preserve"> are reflected in different </w:t>
      </w:r>
      <w:proofErr w:type="gramStart"/>
      <w:r w:rsidRPr="00C14D55">
        <w:t>scenarios</w:t>
      </w:r>
      <w:proofErr w:type="gramEnd"/>
    </w:p>
    <w:p w14:paraId="48C8686D" w14:textId="6FF43452" w:rsidR="000C751B" w:rsidRPr="00C14D55" w:rsidRDefault="00C727EE" w:rsidP="00BD6117">
      <w:pPr>
        <w:pStyle w:val="VCAAbullet"/>
      </w:pPr>
      <w:r>
        <w:t xml:space="preserve">evaluate </w:t>
      </w:r>
      <w:r w:rsidR="000C751B" w:rsidRPr="00C14D55">
        <w:t>different types of aid</w:t>
      </w:r>
      <w:r w:rsidR="00944C7D">
        <w:t xml:space="preserve"> and their effectiveness</w:t>
      </w:r>
      <w:r w:rsidR="000C751B" w:rsidRPr="00C14D55">
        <w:t xml:space="preserve"> in providing humanitarian assistance, reducing poverty and </w:t>
      </w:r>
      <w:r w:rsidR="00CE4C36">
        <w:t>improving</w:t>
      </w:r>
      <w:r w:rsidR="00CE4C36" w:rsidRPr="00C14D55">
        <w:t xml:space="preserve"> </w:t>
      </w:r>
      <w:r w:rsidR="000C751B" w:rsidRPr="00C14D55">
        <w:t>human development</w:t>
      </w:r>
      <w:r w:rsidR="00CE4C36">
        <w:t xml:space="preserve"> and promoting health</w:t>
      </w:r>
    </w:p>
    <w:p w14:paraId="4B5AF5CA" w14:textId="77777777" w:rsidR="000C751B" w:rsidRPr="00C14D55" w:rsidRDefault="000C751B" w:rsidP="00BD6117">
      <w:pPr>
        <w:pStyle w:val="VCAAbullet"/>
      </w:pPr>
      <w:r w:rsidRPr="00C14D55">
        <w:t xml:space="preserve">discuss how Australia’s aid program supports the achievement of the SDGs </w:t>
      </w:r>
    </w:p>
    <w:p w14:paraId="7B941834" w14:textId="77777777" w:rsidR="000C751B" w:rsidRPr="00C14D55" w:rsidRDefault="000C751B" w:rsidP="00BD6117">
      <w:pPr>
        <w:pStyle w:val="VCAAbullet"/>
      </w:pPr>
      <w:r w:rsidRPr="00C14D55">
        <w:t>justify why Australia’s aid program is delivered through partnerships</w:t>
      </w:r>
    </w:p>
    <w:p w14:paraId="7B716A37" w14:textId="77777777" w:rsidR="000C751B" w:rsidRPr="00C14D55" w:rsidRDefault="000C751B" w:rsidP="00BD6117">
      <w:pPr>
        <w:pStyle w:val="VCAAbullet"/>
      </w:pPr>
      <w:r w:rsidRPr="00C14D55">
        <w:t>evaluate the effectiveness of aid programs in promoting health and human development</w:t>
      </w:r>
    </w:p>
    <w:p w14:paraId="4904AC67" w14:textId="2D14829C" w:rsidR="000C751B" w:rsidRPr="00C14D55" w:rsidRDefault="00F519F8" w:rsidP="00BD6117">
      <w:pPr>
        <w:pStyle w:val="VCAAbullet"/>
      </w:pPr>
      <w:r>
        <w:t>discuss</w:t>
      </w:r>
      <w:r w:rsidRPr="00C14D55">
        <w:t xml:space="preserve"> </w:t>
      </w:r>
      <w:r w:rsidR="000C751B" w:rsidRPr="00C14D55">
        <w:t>ways of taking individual and social action to promote health and human development</w:t>
      </w:r>
      <w:r w:rsidR="00F144B7">
        <w:t>.</w:t>
      </w:r>
    </w:p>
    <w:p w14:paraId="41E8D183" w14:textId="6459A6DD" w:rsidR="000C751B" w:rsidRPr="00C14D55" w:rsidRDefault="000C751B" w:rsidP="004F537B">
      <w:pPr>
        <w:pStyle w:val="VCAAHeading2"/>
        <w:rPr>
          <w:lang w:val="en-AU"/>
        </w:rPr>
      </w:pPr>
      <w:bookmarkStart w:id="134" w:name="_Toc159241290"/>
      <w:r w:rsidRPr="00C14D55">
        <w:rPr>
          <w:lang w:val="en-AU"/>
        </w:rPr>
        <w:t>School-based assessment</w:t>
      </w:r>
      <w:bookmarkEnd w:id="134"/>
    </w:p>
    <w:p w14:paraId="1BBA68E2" w14:textId="77777777" w:rsidR="000C751B" w:rsidRPr="00C14D55" w:rsidRDefault="000C751B" w:rsidP="004F537B">
      <w:pPr>
        <w:pStyle w:val="VCAAHeading3"/>
        <w:rPr>
          <w:lang w:val="en-AU"/>
        </w:rPr>
      </w:pPr>
      <w:bookmarkStart w:id="135" w:name="_Toc130815925"/>
      <w:bookmarkStart w:id="136" w:name="_Toc159241291"/>
      <w:r w:rsidRPr="00C14D55">
        <w:rPr>
          <w:lang w:val="en-AU"/>
        </w:rPr>
        <w:t>Satisfactory completion</w:t>
      </w:r>
      <w:bookmarkEnd w:id="135"/>
      <w:bookmarkEnd w:id="136"/>
    </w:p>
    <w:p w14:paraId="595654DB" w14:textId="77777777" w:rsidR="000C751B" w:rsidRPr="00C14D55" w:rsidRDefault="000C751B" w:rsidP="004F537B">
      <w:pPr>
        <w:pStyle w:val="VCAAbody"/>
        <w:rPr>
          <w:lang w:val="en-AU"/>
        </w:rPr>
      </w:pPr>
      <w:r w:rsidRPr="00C14D55">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0023C95" w14:textId="77777777" w:rsidR="000C751B" w:rsidRPr="00C14D55" w:rsidRDefault="000C751B" w:rsidP="004F537B">
      <w:pPr>
        <w:pStyle w:val="VCAAbody"/>
        <w:rPr>
          <w:lang w:val="en-AU"/>
        </w:rPr>
      </w:pPr>
      <w:r w:rsidRPr="00C14D55">
        <w:rPr>
          <w:lang w:val="en-AU"/>
        </w:rPr>
        <w:t>The areas of study and key knowledge and key skills listed for the outcomes should be used for course design and the development of learning activities and assessment tasks.</w:t>
      </w:r>
    </w:p>
    <w:p w14:paraId="50DB16F7" w14:textId="77777777" w:rsidR="000C751B" w:rsidRPr="00C14D55" w:rsidRDefault="000C751B" w:rsidP="004F537B">
      <w:pPr>
        <w:pStyle w:val="VCAAHeading3"/>
        <w:rPr>
          <w:lang w:val="en-AU"/>
        </w:rPr>
      </w:pPr>
      <w:bookmarkStart w:id="137" w:name="_Toc130815926"/>
      <w:bookmarkStart w:id="138" w:name="_Toc159241292"/>
      <w:r w:rsidRPr="00C14D55">
        <w:rPr>
          <w:lang w:val="en-AU"/>
        </w:rPr>
        <w:t>Assessment of levels of achievement</w:t>
      </w:r>
      <w:bookmarkEnd w:id="137"/>
      <w:bookmarkEnd w:id="138"/>
    </w:p>
    <w:p w14:paraId="000CDEB9" w14:textId="77777777" w:rsidR="000C751B" w:rsidRPr="00C14D55" w:rsidRDefault="000C751B" w:rsidP="004F537B">
      <w:pPr>
        <w:pStyle w:val="VCAAHeading4"/>
        <w:rPr>
          <w:lang w:val="en-AU"/>
        </w:rPr>
      </w:pPr>
      <w:r w:rsidRPr="00C14D55">
        <w:rPr>
          <w:lang w:val="en-AU"/>
        </w:rPr>
        <w:t>School-assessed Coursework</w:t>
      </w:r>
    </w:p>
    <w:p w14:paraId="08C8FC48" w14:textId="77777777" w:rsidR="000C751B" w:rsidRPr="00C14D55" w:rsidRDefault="000C751B" w:rsidP="004F537B">
      <w:pPr>
        <w:pStyle w:val="VCAAbody"/>
        <w:rPr>
          <w:lang w:val="en-AU"/>
        </w:rPr>
      </w:pPr>
      <w:r w:rsidRPr="00C14D55">
        <w:rPr>
          <w:lang w:val="en-AU"/>
        </w:rPr>
        <w:t>The student’s level of achievement in Unit 4 will be determined by School-assessed Coursework. School-assessed Coursework tasks must be a part of the regular teaching and learning program and must not unduly add to the workload associated with that program. They must be completed mainly in class and within a limited timeframe.</w:t>
      </w:r>
    </w:p>
    <w:p w14:paraId="21831BEB" w14:textId="77777777" w:rsidR="000C751B" w:rsidRPr="00C14D55" w:rsidRDefault="000C751B" w:rsidP="004F537B">
      <w:pPr>
        <w:pStyle w:val="VCAAbody"/>
        <w:rPr>
          <w:lang w:val="en-AU"/>
        </w:rPr>
      </w:pPr>
      <w:r w:rsidRPr="00C14D55">
        <w:rPr>
          <w:lang w:val="en-AU"/>
        </w:rPr>
        <w:t>Where teachers provide a range of options for the same School-assessed Coursework task, they should ensure that the options are of comparable scope and demand.</w:t>
      </w:r>
    </w:p>
    <w:p w14:paraId="3DD2CBA0" w14:textId="7CD6CD45" w:rsidR="000C751B" w:rsidRPr="00C14D55" w:rsidRDefault="000C751B" w:rsidP="004F537B">
      <w:pPr>
        <w:pStyle w:val="VCAAbody"/>
        <w:rPr>
          <w:rFonts w:ascii="HelveticaNeue LT 55 Roman" w:hAnsi="HelveticaNeue LT 55 Roman" w:cs="HelveticaNeue LT 55 Roman"/>
          <w:lang w:val="en-AU"/>
        </w:rPr>
      </w:pPr>
      <w:r w:rsidRPr="00C14D55">
        <w:rPr>
          <w:lang w:val="en-AU"/>
        </w:rPr>
        <w:t>The types and range of forms of School-assessed Coursework for the outcomes are prescribed within the study design. The VCAA publishes</w:t>
      </w:r>
      <w:r w:rsidRPr="00C14D55">
        <w:rPr>
          <w:rFonts w:ascii="HelveticaNeue LT 55 Roman" w:hAnsi="HelveticaNeue LT 55 Roman" w:cs="HelveticaNeue LT 55 Roman"/>
          <w:lang w:val="en-AU"/>
        </w:rPr>
        <w:t xml:space="preserve"> </w:t>
      </w:r>
      <w:hyperlink r:id="rId41" w:history="1">
        <w:r w:rsidRPr="00C14D55">
          <w:rPr>
            <w:iCs/>
            <w:color w:val="0000FF" w:themeColor="hyperlink"/>
            <w:u w:val="single"/>
            <w:lang w:val="en-AU"/>
          </w:rPr>
          <w:t>Support materials</w:t>
        </w:r>
      </w:hyperlink>
      <w:r w:rsidRPr="00C14D55">
        <w:rPr>
          <w:lang w:val="en-AU"/>
        </w:rPr>
        <w:t xml:space="preserve"> for this study, which include advice on the design of assessment tasks and the assessment of student work for a level of achievement.</w:t>
      </w:r>
    </w:p>
    <w:p w14:paraId="343C3568" w14:textId="5A3AFB7A" w:rsidR="004F537B" w:rsidRPr="00C14D55" w:rsidRDefault="000C751B" w:rsidP="00E14442">
      <w:pPr>
        <w:pStyle w:val="VCAAbody"/>
      </w:pPr>
      <w:r w:rsidRPr="00C14D55">
        <w:rPr>
          <w:lang w:val="en-AU"/>
        </w:rPr>
        <w:lastRenderedPageBreak/>
        <w:t>Teachers will provide to the VCAA a numerical score representing an assessment of the student’s level of achievement. The score must be based on the teacher’s assessment of the performance of each student on the tasks set out in the following table.</w:t>
      </w:r>
    </w:p>
    <w:p w14:paraId="0C2597D9" w14:textId="77777777" w:rsidR="000C751B" w:rsidRPr="00C14D55" w:rsidRDefault="000C751B" w:rsidP="004F537B">
      <w:pPr>
        <w:pStyle w:val="VCAAHeading4"/>
        <w:rPr>
          <w:lang w:val="en-AU"/>
        </w:rPr>
      </w:pPr>
      <w:r w:rsidRPr="00C14D55">
        <w:rPr>
          <w:lang w:val="en-AU"/>
        </w:rPr>
        <w:t>Contribution to final assessment</w:t>
      </w:r>
    </w:p>
    <w:p w14:paraId="193F1E7A" w14:textId="77777777" w:rsidR="000C751B" w:rsidRPr="00C14D55" w:rsidRDefault="000C751B" w:rsidP="004F537B">
      <w:pPr>
        <w:pStyle w:val="VCAAbody"/>
        <w:spacing w:after="240"/>
        <w:rPr>
          <w:lang w:val="en-AU"/>
        </w:rPr>
      </w:pPr>
      <w:r w:rsidRPr="00C14D55">
        <w:rPr>
          <w:lang w:val="en-AU"/>
        </w:rPr>
        <w:t>School-assessed Coursework for Unit 4 will contribute 25 per cent to the study score.</w:t>
      </w:r>
    </w:p>
    <w:tbl>
      <w:tblPr>
        <w:tblStyle w:val="VCAATableClosed1"/>
        <w:tblW w:w="0" w:type="auto"/>
        <w:tblLook w:val="04A0" w:firstRow="1" w:lastRow="0" w:firstColumn="1" w:lastColumn="0" w:noHBand="0" w:noVBand="1"/>
      </w:tblPr>
      <w:tblGrid>
        <w:gridCol w:w="3840"/>
        <w:gridCol w:w="2223"/>
        <w:gridCol w:w="3568"/>
      </w:tblGrid>
      <w:tr w:rsidR="000C751B" w:rsidRPr="00C14D55" w14:paraId="7295352C" w14:textId="77777777" w:rsidTr="00AA6B59">
        <w:trPr>
          <w:cnfStyle w:val="100000000000" w:firstRow="1" w:lastRow="0" w:firstColumn="0" w:lastColumn="0" w:oddVBand="0" w:evenVBand="0" w:oddHBand="0" w:evenHBand="0" w:firstRowFirstColumn="0" w:firstRowLastColumn="0" w:lastRowFirstColumn="0" w:lastRowLastColumn="0"/>
        </w:trPr>
        <w:tc>
          <w:tcPr>
            <w:tcW w:w="3840" w:type="dxa"/>
            <w:tcBorders>
              <w:left w:val="nil"/>
              <w:bottom w:val="single" w:sz="4" w:space="0" w:color="000000" w:themeColor="text1"/>
              <w:right w:val="nil"/>
            </w:tcBorders>
          </w:tcPr>
          <w:p w14:paraId="2580DC1A" w14:textId="77777777" w:rsidR="000C751B" w:rsidRPr="00C14D55" w:rsidRDefault="000C751B" w:rsidP="004F537B">
            <w:pPr>
              <w:pStyle w:val="VCAAtablecondensedheading"/>
              <w:rPr>
                <w:b/>
                <w:bCs/>
                <w:lang w:val="en-AU"/>
              </w:rPr>
            </w:pPr>
            <w:r w:rsidRPr="00C14D55">
              <w:rPr>
                <w:b/>
                <w:bCs/>
                <w:lang w:val="en-AU"/>
              </w:rPr>
              <w:t>Outcomes</w:t>
            </w:r>
          </w:p>
        </w:tc>
        <w:tc>
          <w:tcPr>
            <w:tcW w:w="2223" w:type="dxa"/>
            <w:tcBorders>
              <w:left w:val="nil"/>
              <w:bottom w:val="single" w:sz="4" w:space="0" w:color="auto"/>
              <w:right w:val="nil"/>
            </w:tcBorders>
          </w:tcPr>
          <w:p w14:paraId="5B88AA9C" w14:textId="77777777" w:rsidR="000C751B" w:rsidRPr="00C14D55" w:rsidRDefault="000C751B" w:rsidP="00987A77">
            <w:pPr>
              <w:pStyle w:val="VCAAtablecondensedheading"/>
              <w:jc w:val="center"/>
              <w:rPr>
                <w:b/>
                <w:bCs/>
                <w:lang w:val="en-AU"/>
              </w:rPr>
            </w:pPr>
            <w:r w:rsidRPr="00C14D55">
              <w:rPr>
                <w:b/>
                <w:bCs/>
                <w:lang w:val="en-AU"/>
              </w:rPr>
              <w:t>Marks allocated</w:t>
            </w:r>
          </w:p>
        </w:tc>
        <w:tc>
          <w:tcPr>
            <w:tcW w:w="3568" w:type="dxa"/>
            <w:tcBorders>
              <w:left w:val="nil"/>
              <w:bottom w:val="single" w:sz="4" w:space="0" w:color="000000" w:themeColor="text1"/>
              <w:right w:val="nil"/>
            </w:tcBorders>
          </w:tcPr>
          <w:p w14:paraId="2506025B" w14:textId="77777777" w:rsidR="000C751B" w:rsidRPr="00C14D55" w:rsidRDefault="000C751B" w:rsidP="004F537B">
            <w:pPr>
              <w:pStyle w:val="VCAAtablecondensedheading"/>
              <w:rPr>
                <w:b/>
                <w:bCs/>
                <w:lang w:val="en-AU"/>
              </w:rPr>
            </w:pPr>
            <w:r w:rsidRPr="00C14D55">
              <w:rPr>
                <w:b/>
                <w:bCs/>
                <w:lang w:val="en-AU"/>
              </w:rPr>
              <w:t>Assessment tasks</w:t>
            </w:r>
          </w:p>
        </w:tc>
      </w:tr>
      <w:tr w:rsidR="000C751B" w:rsidRPr="00C14D55" w14:paraId="4CD8FC18" w14:textId="77777777" w:rsidTr="00AA6B59">
        <w:tc>
          <w:tcPr>
            <w:tcW w:w="3840" w:type="dxa"/>
            <w:tcBorders>
              <w:left w:val="nil"/>
              <w:bottom w:val="nil"/>
              <w:right w:val="nil"/>
            </w:tcBorders>
          </w:tcPr>
          <w:p w14:paraId="6125CA33" w14:textId="77777777" w:rsidR="000C751B" w:rsidRPr="00C14D55" w:rsidRDefault="000C751B" w:rsidP="000C751B">
            <w:pPr>
              <w:spacing w:before="120" w:after="120" w:line="280" w:lineRule="exact"/>
              <w:rPr>
                <w:rFonts w:ascii="Arial" w:hAnsi="Arial" w:cs="Arial"/>
                <w:b/>
                <w:sz w:val="20"/>
              </w:rPr>
            </w:pPr>
            <w:r w:rsidRPr="00C14D55">
              <w:rPr>
                <w:rFonts w:ascii="Arial" w:hAnsi="Arial" w:cs="Arial"/>
                <w:b/>
                <w:sz w:val="20"/>
              </w:rPr>
              <w:t>Outcome 1</w:t>
            </w:r>
          </w:p>
          <w:p w14:paraId="01CAF20E" w14:textId="65D0EB8A" w:rsidR="00AC01A5" w:rsidRPr="00C14D55" w:rsidRDefault="004F537B" w:rsidP="00AC01A5">
            <w:pPr>
              <w:pStyle w:val="VCAAtablecondensed"/>
              <w:rPr>
                <w:lang w:val="en-AU"/>
              </w:rPr>
            </w:pPr>
            <w:r w:rsidRPr="00C14D55">
              <w:rPr>
                <w:lang w:val="en-AU"/>
              </w:rPr>
              <w:t>A</w:t>
            </w:r>
            <w:r w:rsidR="000C751B" w:rsidRPr="00C14D55">
              <w:rPr>
                <w:lang w:val="en-AU"/>
              </w:rPr>
              <w:t>nalyse similarities and differences in health status and human development globally and analyse the factors that contribute to these differences.</w:t>
            </w:r>
          </w:p>
        </w:tc>
        <w:tc>
          <w:tcPr>
            <w:tcW w:w="2223" w:type="dxa"/>
            <w:tcBorders>
              <w:top w:val="single" w:sz="4" w:space="0" w:color="auto"/>
              <w:left w:val="nil"/>
              <w:bottom w:val="nil"/>
              <w:right w:val="nil"/>
            </w:tcBorders>
          </w:tcPr>
          <w:p w14:paraId="61B4A94C" w14:textId="77777777" w:rsidR="000C751B" w:rsidRPr="00C14D55" w:rsidRDefault="000C751B" w:rsidP="00987A77">
            <w:pPr>
              <w:pStyle w:val="VCAAtablecondensed"/>
              <w:jc w:val="center"/>
              <w:rPr>
                <w:b/>
                <w:bCs/>
                <w:lang w:val="en-AU"/>
              </w:rPr>
            </w:pPr>
            <w:r w:rsidRPr="00C14D55">
              <w:rPr>
                <w:b/>
                <w:bCs/>
                <w:lang w:val="en-AU"/>
              </w:rPr>
              <w:t>50</w:t>
            </w:r>
          </w:p>
        </w:tc>
        <w:tc>
          <w:tcPr>
            <w:tcW w:w="3568" w:type="dxa"/>
            <w:vMerge w:val="restart"/>
            <w:tcBorders>
              <w:left w:val="nil"/>
              <w:right w:val="nil"/>
            </w:tcBorders>
          </w:tcPr>
          <w:p w14:paraId="6ACFBAE0" w14:textId="121FA71F" w:rsidR="000C751B" w:rsidRPr="00C14D55" w:rsidRDefault="000C751B" w:rsidP="004F537B">
            <w:pPr>
              <w:pStyle w:val="VCAAtablecondensed"/>
              <w:rPr>
                <w:lang w:val="en-AU"/>
              </w:rPr>
            </w:pPr>
            <w:r w:rsidRPr="00C14D55">
              <w:rPr>
                <w:lang w:val="en-AU"/>
              </w:rPr>
              <w:t>The student’s performance on each outcome is assessed using one or more of the following</w:t>
            </w:r>
            <w:r w:rsidR="00507A42" w:rsidRPr="00C14D55">
              <w:rPr>
                <w:lang w:val="en-AU"/>
              </w:rPr>
              <w:t>:</w:t>
            </w:r>
            <w:r w:rsidRPr="00C14D55">
              <w:rPr>
                <w:lang w:val="en-AU"/>
              </w:rPr>
              <w:t xml:space="preserve"> </w:t>
            </w:r>
          </w:p>
          <w:p w14:paraId="094F7A8F" w14:textId="1DF93E0C" w:rsidR="00FC1EE4" w:rsidRPr="00FC1EE4" w:rsidRDefault="00FC1EE4" w:rsidP="0065254E">
            <w:pPr>
              <w:pStyle w:val="VCAAtablecondensedbullet"/>
              <w:tabs>
                <w:tab w:val="clear" w:pos="425"/>
              </w:tabs>
              <w:ind w:left="356" w:hanging="356"/>
            </w:pPr>
            <w:r w:rsidRPr="00FC1EE4">
              <w:t xml:space="preserve">a written report, such as a media analysis, a research </w:t>
            </w:r>
            <w:r w:rsidR="00C727EE">
              <w:rPr>
                <w:strike/>
              </w:rPr>
              <w:t>i</w:t>
            </w:r>
            <w:r w:rsidR="00C727EE" w:rsidRPr="00C727EE">
              <w:t>nvestigation</w:t>
            </w:r>
            <w:r w:rsidR="006A643C">
              <w:t>,</w:t>
            </w:r>
            <w:r w:rsidRPr="00FC1EE4">
              <w:t xml:space="preserve"> a blog </w:t>
            </w:r>
            <w:r w:rsidR="00B92903">
              <w:t xml:space="preserve">post </w:t>
            </w:r>
            <w:r w:rsidRPr="00FC1EE4">
              <w:t xml:space="preserve">or a case study analysis </w:t>
            </w:r>
          </w:p>
          <w:p w14:paraId="491D84F5" w14:textId="6621E357" w:rsidR="00FC1EE4" w:rsidRPr="00FC1EE4" w:rsidRDefault="00FC1EE4" w:rsidP="0065254E">
            <w:pPr>
              <w:pStyle w:val="VCAAtablecondensedbullet"/>
              <w:tabs>
                <w:tab w:val="clear" w:pos="425"/>
              </w:tabs>
              <w:ind w:left="356" w:hanging="356"/>
            </w:pPr>
            <w:r w:rsidRPr="00FC1EE4">
              <w:t>an extended</w:t>
            </w:r>
            <w:r w:rsidR="00696558">
              <w:t xml:space="preserve"> </w:t>
            </w:r>
            <w:r w:rsidRPr="00FC1EE4">
              <w:t xml:space="preserve">response question analysing a range of </w:t>
            </w:r>
            <w:r w:rsidR="009F71C3" w:rsidRPr="00FC1EE4">
              <w:t>stimul</w:t>
            </w:r>
            <w:r w:rsidR="009F71C3">
              <w:t>i</w:t>
            </w:r>
            <w:r w:rsidR="009F71C3" w:rsidRPr="00FC1EE4">
              <w:t xml:space="preserve"> </w:t>
            </w:r>
            <w:r w:rsidRPr="00FC1EE4">
              <w:t xml:space="preserve">with an emphasis on annotating, synthesising and planning the response </w:t>
            </w:r>
          </w:p>
          <w:p w14:paraId="0C829003" w14:textId="77777777" w:rsidR="00FC1EE4" w:rsidRPr="00FC1EE4" w:rsidRDefault="00FC1EE4" w:rsidP="0065254E">
            <w:pPr>
              <w:pStyle w:val="VCAAtablecondensedbullet"/>
              <w:tabs>
                <w:tab w:val="clear" w:pos="425"/>
              </w:tabs>
              <w:ind w:left="356" w:hanging="356"/>
            </w:pPr>
            <w:r w:rsidRPr="00FC1EE4">
              <w:t>an oral presentation, such as a debate or a podcast</w:t>
            </w:r>
          </w:p>
          <w:p w14:paraId="07DB70E0" w14:textId="106C6686" w:rsidR="00FC1EE4" w:rsidRPr="00FC1EE4" w:rsidRDefault="00FC1EE4" w:rsidP="0065254E">
            <w:pPr>
              <w:pStyle w:val="VCAAtablecondensedbullet"/>
              <w:tabs>
                <w:tab w:val="clear" w:pos="425"/>
              </w:tabs>
              <w:ind w:left="356" w:hanging="356"/>
            </w:pPr>
            <w:r w:rsidRPr="00FC1EE4">
              <w:t>a visual presentation</w:t>
            </w:r>
            <w:r w:rsidR="00E37E75">
              <w:t>,</w:t>
            </w:r>
            <w:r w:rsidRPr="00FC1EE4">
              <w:t xml:space="preserve"> such as a concept map, an annotated poster, or a digital presentation </w:t>
            </w:r>
          </w:p>
          <w:p w14:paraId="0885F42E" w14:textId="77777777" w:rsidR="00FC1EE4" w:rsidRPr="00FC1EE4" w:rsidRDefault="00FC1EE4" w:rsidP="0065254E">
            <w:pPr>
              <w:pStyle w:val="VCAAtablecondensedbullet"/>
              <w:tabs>
                <w:tab w:val="clear" w:pos="425"/>
              </w:tabs>
              <w:ind w:left="356" w:hanging="356"/>
            </w:pPr>
            <w:r w:rsidRPr="00FC1EE4">
              <w:t>structured questions, including data analysis or case study analysis.</w:t>
            </w:r>
          </w:p>
          <w:p w14:paraId="6D861B7A" w14:textId="77777777" w:rsidR="000C751B" w:rsidRPr="00C14D55" w:rsidRDefault="000C751B" w:rsidP="004F537B">
            <w:pPr>
              <w:pStyle w:val="VCAAtablecondensed"/>
              <w:spacing w:after="240"/>
              <w:rPr>
                <w:rFonts w:ascii="Arial" w:hAnsi="Arial"/>
                <w:lang w:val="en-AU"/>
              </w:rPr>
            </w:pPr>
            <w:r w:rsidRPr="00C14D55">
              <w:rPr>
                <w:lang w:val="en-AU"/>
              </w:rPr>
              <w:t>Each task type can only be selected once across Outcome 1 and Outcome 2.</w:t>
            </w:r>
          </w:p>
        </w:tc>
      </w:tr>
      <w:tr w:rsidR="000C751B" w:rsidRPr="00C14D55" w14:paraId="1CFA7ED7" w14:textId="77777777" w:rsidTr="00AA6B59">
        <w:tc>
          <w:tcPr>
            <w:tcW w:w="3840" w:type="dxa"/>
            <w:tcBorders>
              <w:top w:val="nil"/>
              <w:left w:val="nil"/>
              <w:bottom w:val="nil"/>
              <w:right w:val="nil"/>
            </w:tcBorders>
          </w:tcPr>
          <w:p w14:paraId="3B4BF737" w14:textId="77777777" w:rsidR="000C751B" w:rsidRPr="00C14D55" w:rsidRDefault="000C751B" w:rsidP="000C751B">
            <w:pPr>
              <w:spacing w:before="120" w:after="120" w:line="280" w:lineRule="exact"/>
              <w:rPr>
                <w:rFonts w:ascii="Arial" w:hAnsi="Arial" w:cs="Arial"/>
                <w:b/>
                <w:sz w:val="20"/>
              </w:rPr>
            </w:pPr>
            <w:r w:rsidRPr="00C14D55">
              <w:rPr>
                <w:rFonts w:ascii="Arial" w:hAnsi="Arial" w:cs="Arial"/>
                <w:b/>
                <w:sz w:val="20"/>
              </w:rPr>
              <w:t>Outcome 2</w:t>
            </w:r>
          </w:p>
          <w:p w14:paraId="5812607D" w14:textId="52CBFB2A" w:rsidR="000C751B" w:rsidRDefault="004F537B" w:rsidP="004F537B">
            <w:pPr>
              <w:pStyle w:val="VCAAtablecondensed"/>
              <w:rPr>
                <w:lang w:val="en-AU"/>
              </w:rPr>
            </w:pPr>
            <w:r w:rsidRPr="00C14D55">
              <w:rPr>
                <w:lang w:val="en-AU"/>
              </w:rPr>
              <w:t>A</w:t>
            </w:r>
            <w:r w:rsidR="000C751B" w:rsidRPr="00C14D55">
              <w:rPr>
                <w:lang w:val="en-AU"/>
              </w:rPr>
              <w:t xml:space="preserve">nalyse </w:t>
            </w:r>
            <w:r w:rsidR="00BB7DD2">
              <w:rPr>
                <w:lang w:val="en-AU"/>
              </w:rPr>
              <w:t xml:space="preserve">the </w:t>
            </w:r>
            <w:r w:rsidR="000C751B" w:rsidRPr="00C14D55">
              <w:rPr>
                <w:lang w:val="en-AU"/>
              </w:rPr>
              <w:t xml:space="preserve">relationships between the SDGs and their role in the promotion of health and human </w:t>
            </w:r>
            <w:r w:rsidR="00AC01A5" w:rsidRPr="00C14D55">
              <w:rPr>
                <w:lang w:val="en-AU"/>
              </w:rPr>
              <w:t>development</w:t>
            </w:r>
            <w:r w:rsidR="00AC01A5">
              <w:rPr>
                <w:lang w:val="en-AU"/>
              </w:rPr>
              <w:t xml:space="preserve"> and</w:t>
            </w:r>
            <w:r w:rsidR="000C751B" w:rsidRPr="00C14D55">
              <w:rPr>
                <w:lang w:val="en-AU"/>
              </w:rPr>
              <w:t xml:space="preserve"> evaluate the effectiveness of global aid programs.</w:t>
            </w:r>
          </w:p>
          <w:p w14:paraId="002B74DF" w14:textId="115E714E" w:rsidR="00AC01A5" w:rsidRPr="00C14D55" w:rsidRDefault="00AC01A5" w:rsidP="00AC01A5">
            <w:pPr>
              <w:pStyle w:val="VCAAbody"/>
              <w:rPr>
                <w:lang w:val="en-AU"/>
              </w:rPr>
            </w:pPr>
          </w:p>
        </w:tc>
        <w:tc>
          <w:tcPr>
            <w:tcW w:w="2223" w:type="dxa"/>
            <w:tcBorders>
              <w:top w:val="nil"/>
              <w:left w:val="nil"/>
              <w:bottom w:val="nil"/>
              <w:right w:val="nil"/>
            </w:tcBorders>
          </w:tcPr>
          <w:p w14:paraId="1E2F3899" w14:textId="77777777" w:rsidR="000C751B" w:rsidRPr="00C14D55" w:rsidRDefault="000C751B" w:rsidP="00987A77">
            <w:pPr>
              <w:pStyle w:val="VCAAtablecondensed"/>
              <w:jc w:val="center"/>
              <w:rPr>
                <w:b/>
                <w:bCs/>
                <w:lang w:val="en-AU"/>
              </w:rPr>
            </w:pPr>
            <w:r w:rsidRPr="00C14D55">
              <w:rPr>
                <w:b/>
                <w:bCs/>
                <w:lang w:val="en-AU"/>
              </w:rPr>
              <w:t>50</w:t>
            </w:r>
          </w:p>
        </w:tc>
        <w:tc>
          <w:tcPr>
            <w:tcW w:w="3568" w:type="dxa"/>
            <w:vMerge/>
            <w:tcBorders>
              <w:left w:val="nil"/>
              <w:bottom w:val="nil"/>
              <w:right w:val="nil"/>
            </w:tcBorders>
          </w:tcPr>
          <w:p w14:paraId="149B1828" w14:textId="77777777" w:rsidR="000C751B" w:rsidRPr="00C14D55" w:rsidRDefault="000C751B" w:rsidP="000C751B">
            <w:pPr>
              <w:spacing w:before="120" w:after="120" w:line="280" w:lineRule="exact"/>
              <w:rPr>
                <w:rFonts w:ascii="Arial" w:hAnsi="Arial" w:cs="Arial"/>
                <w:sz w:val="20"/>
              </w:rPr>
            </w:pPr>
          </w:p>
        </w:tc>
      </w:tr>
      <w:tr w:rsidR="000C751B" w:rsidRPr="00C14D55" w14:paraId="2D5588EA" w14:textId="77777777" w:rsidTr="00AA6B59">
        <w:tc>
          <w:tcPr>
            <w:tcW w:w="3840" w:type="dxa"/>
            <w:tcBorders>
              <w:left w:val="nil"/>
              <w:right w:val="nil"/>
            </w:tcBorders>
          </w:tcPr>
          <w:p w14:paraId="50E0BC72" w14:textId="77777777" w:rsidR="000C751B" w:rsidRPr="00C14D55" w:rsidRDefault="000C751B" w:rsidP="00987A77">
            <w:pPr>
              <w:pStyle w:val="VCAAtablecondensed"/>
              <w:ind w:right="191"/>
              <w:jc w:val="right"/>
              <w:rPr>
                <w:b/>
                <w:bCs/>
                <w:lang w:val="en-AU"/>
              </w:rPr>
            </w:pPr>
            <w:r w:rsidRPr="00C14D55">
              <w:rPr>
                <w:b/>
                <w:bCs/>
                <w:lang w:val="en-AU"/>
              </w:rPr>
              <w:t>Total marks</w:t>
            </w:r>
          </w:p>
        </w:tc>
        <w:tc>
          <w:tcPr>
            <w:tcW w:w="2223" w:type="dxa"/>
            <w:tcBorders>
              <w:top w:val="single" w:sz="4" w:space="0" w:color="auto"/>
              <w:left w:val="nil"/>
              <w:right w:val="nil"/>
            </w:tcBorders>
          </w:tcPr>
          <w:p w14:paraId="58AA400C" w14:textId="77777777" w:rsidR="000C751B" w:rsidRPr="00C14D55" w:rsidRDefault="000C751B" w:rsidP="00987A77">
            <w:pPr>
              <w:pStyle w:val="VCAAtablecondensed"/>
              <w:jc w:val="center"/>
              <w:rPr>
                <w:b/>
                <w:bCs/>
                <w:lang w:val="en-AU"/>
              </w:rPr>
            </w:pPr>
            <w:r w:rsidRPr="00C14D55">
              <w:rPr>
                <w:b/>
                <w:bCs/>
                <w:lang w:val="en-AU"/>
              </w:rPr>
              <w:t>100</w:t>
            </w:r>
          </w:p>
        </w:tc>
        <w:tc>
          <w:tcPr>
            <w:tcW w:w="3568" w:type="dxa"/>
            <w:tcBorders>
              <w:left w:val="nil"/>
              <w:right w:val="nil"/>
            </w:tcBorders>
          </w:tcPr>
          <w:p w14:paraId="1667F603" w14:textId="77777777" w:rsidR="000C751B" w:rsidRPr="00C14D55" w:rsidRDefault="000C751B" w:rsidP="00987A77">
            <w:pPr>
              <w:pStyle w:val="VCAAtablecondensed"/>
              <w:rPr>
                <w:b/>
                <w:bCs/>
                <w:lang w:val="en-AU"/>
              </w:rPr>
            </w:pPr>
          </w:p>
        </w:tc>
      </w:tr>
    </w:tbl>
    <w:p w14:paraId="49FBAD61" w14:textId="77777777" w:rsidR="000C751B" w:rsidRPr="00C14D55" w:rsidRDefault="000C751B" w:rsidP="00987A77">
      <w:pPr>
        <w:pStyle w:val="VCAAHeading2"/>
        <w:rPr>
          <w:lang w:val="en-AU"/>
        </w:rPr>
      </w:pPr>
      <w:bookmarkStart w:id="139" w:name="_Toc159241293"/>
      <w:r w:rsidRPr="00C14D55">
        <w:rPr>
          <w:lang w:val="en-AU"/>
        </w:rPr>
        <w:t>External assessment</w:t>
      </w:r>
      <w:bookmarkEnd w:id="139"/>
    </w:p>
    <w:p w14:paraId="57374631" w14:textId="77777777" w:rsidR="000C751B" w:rsidRPr="00C14D55" w:rsidRDefault="000C751B" w:rsidP="00987A77">
      <w:pPr>
        <w:pStyle w:val="VCAAbody"/>
        <w:rPr>
          <w:lang w:val="en-AU"/>
        </w:rPr>
      </w:pPr>
      <w:r w:rsidRPr="00C14D55">
        <w:rPr>
          <w:lang w:val="en-AU"/>
        </w:rPr>
        <w:t>The level of achievement for Units 3 and 4 is also assessed by an end-of-year examination.</w:t>
      </w:r>
    </w:p>
    <w:p w14:paraId="7E8CAB7A" w14:textId="77777777" w:rsidR="000C751B" w:rsidRPr="00C14D55" w:rsidRDefault="000C751B" w:rsidP="00987A77">
      <w:pPr>
        <w:pStyle w:val="VCAAHeading3"/>
        <w:rPr>
          <w:lang w:val="en-AU"/>
        </w:rPr>
      </w:pPr>
      <w:bookmarkStart w:id="140" w:name="Examination"/>
      <w:bookmarkStart w:id="141" w:name="_Toc130815928"/>
      <w:bookmarkStart w:id="142" w:name="_Toc159241294"/>
      <w:bookmarkEnd w:id="140"/>
      <w:r w:rsidRPr="00C14D55">
        <w:rPr>
          <w:lang w:val="en-AU"/>
        </w:rPr>
        <w:t>End-of-year examination</w:t>
      </w:r>
      <w:bookmarkEnd w:id="141"/>
      <w:bookmarkEnd w:id="142"/>
    </w:p>
    <w:p w14:paraId="759B53D0" w14:textId="77777777" w:rsidR="000C751B" w:rsidRPr="00C14D55" w:rsidRDefault="000C751B" w:rsidP="00987A77">
      <w:pPr>
        <w:pStyle w:val="VCAAHeading4"/>
        <w:rPr>
          <w:lang w:val="en-AU"/>
        </w:rPr>
      </w:pPr>
      <w:r w:rsidRPr="00C14D55">
        <w:rPr>
          <w:lang w:val="en-AU"/>
        </w:rPr>
        <w:t>Contribution to final assessment</w:t>
      </w:r>
    </w:p>
    <w:p w14:paraId="62EB535D" w14:textId="77777777" w:rsidR="000C751B" w:rsidRPr="00C14D55" w:rsidRDefault="000C751B" w:rsidP="00987A77">
      <w:pPr>
        <w:pStyle w:val="VCAAbody"/>
        <w:rPr>
          <w:lang w:val="en-AU"/>
        </w:rPr>
      </w:pPr>
      <w:r w:rsidRPr="00C14D55">
        <w:rPr>
          <w:lang w:val="en-AU"/>
        </w:rPr>
        <w:t>The examination will contribute 50 per cent to the study score.</w:t>
      </w:r>
    </w:p>
    <w:p w14:paraId="78E9F9EA" w14:textId="77777777" w:rsidR="000C751B" w:rsidRPr="00C14D55" w:rsidRDefault="000C751B" w:rsidP="00987A77">
      <w:pPr>
        <w:pStyle w:val="VCAAHeading4"/>
        <w:rPr>
          <w:lang w:val="en-AU"/>
        </w:rPr>
      </w:pPr>
      <w:r w:rsidRPr="00C14D55">
        <w:rPr>
          <w:lang w:val="en-AU"/>
        </w:rPr>
        <w:t>Description</w:t>
      </w:r>
    </w:p>
    <w:p w14:paraId="26994A35" w14:textId="2E07BBB0" w:rsidR="00987A77" w:rsidRPr="00C14D55" w:rsidRDefault="000C751B" w:rsidP="00E14442">
      <w:pPr>
        <w:pStyle w:val="VCAAbody"/>
      </w:pPr>
      <w:r w:rsidRPr="00C14D55">
        <w:rPr>
          <w:lang w:val="en-AU"/>
        </w:rPr>
        <w:t>The examination will be set by a panel appointed by the VCAA. All the key knowledge and key skills that underpin the outcomes in Units 3 and 4 are examinable.</w:t>
      </w:r>
    </w:p>
    <w:p w14:paraId="0DA3E518" w14:textId="77777777" w:rsidR="000C751B" w:rsidRPr="00C14D55" w:rsidRDefault="000C751B" w:rsidP="00987A77">
      <w:pPr>
        <w:pStyle w:val="VCAAHeading4"/>
        <w:rPr>
          <w:lang w:val="en-AU"/>
        </w:rPr>
      </w:pPr>
      <w:r w:rsidRPr="00C14D55">
        <w:rPr>
          <w:lang w:val="en-AU"/>
        </w:rPr>
        <w:lastRenderedPageBreak/>
        <w:t>Conditions</w:t>
      </w:r>
    </w:p>
    <w:p w14:paraId="6398879C" w14:textId="77777777" w:rsidR="000C751B" w:rsidRPr="00C14D55" w:rsidRDefault="000C751B" w:rsidP="00987A77">
      <w:pPr>
        <w:pStyle w:val="VCAAbody"/>
        <w:rPr>
          <w:lang w:val="en-AU"/>
        </w:rPr>
      </w:pPr>
      <w:r w:rsidRPr="00C14D55">
        <w:rPr>
          <w:lang w:val="en-AU"/>
        </w:rPr>
        <w:t>The examination will be completed under the following conditions:</w:t>
      </w:r>
    </w:p>
    <w:p w14:paraId="6D9746DB" w14:textId="77777777" w:rsidR="000C751B" w:rsidRPr="00C14D55" w:rsidRDefault="000C751B" w:rsidP="00BD6117">
      <w:pPr>
        <w:pStyle w:val="VCAAbullet"/>
      </w:pPr>
      <w:r w:rsidRPr="00C14D55">
        <w:t>Duration: 2 hours.</w:t>
      </w:r>
    </w:p>
    <w:p w14:paraId="5F8641EF" w14:textId="77777777" w:rsidR="000C751B" w:rsidRPr="00C14D55" w:rsidRDefault="000C751B" w:rsidP="00BD6117">
      <w:pPr>
        <w:pStyle w:val="VCAAbullet"/>
      </w:pPr>
      <w:r w:rsidRPr="00C14D55">
        <w:t>Date: end-of-year, on a date to be published annually by the VCAA.</w:t>
      </w:r>
    </w:p>
    <w:p w14:paraId="3C9C49C3" w14:textId="1397CD73" w:rsidR="000C751B" w:rsidRPr="00C14D55" w:rsidRDefault="000C751B" w:rsidP="00BD6117">
      <w:pPr>
        <w:pStyle w:val="VCAAbullet"/>
        <w:rPr>
          <w:rFonts w:ascii="HelveticaNeue LT 55 Roman" w:hAnsi="HelveticaNeue LT 55 Roman" w:cs="HelveticaNeue LT 55 Roman"/>
        </w:rPr>
      </w:pPr>
      <w:r w:rsidRPr="00C14D55">
        <w:t>VCAA examination rules will apply. Details of these rules are published annually in the</w:t>
      </w:r>
      <w:r w:rsidRPr="00C14D55">
        <w:rPr>
          <w:rFonts w:ascii="HelveticaNeue LT 55 Roman" w:hAnsi="HelveticaNeue LT 55 Roman" w:cs="HelveticaNeue LT 55 Roman"/>
        </w:rPr>
        <w:t xml:space="preserve"> </w:t>
      </w:r>
      <w:hyperlink r:id="rId42" w:history="1">
        <w:r w:rsidR="004B78A4">
          <w:rPr>
            <w:i/>
            <w:iCs/>
            <w:color w:val="0000FF"/>
            <w:u w:val="thick" w:color="0000FF"/>
          </w:rPr>
          <w:t>VCE Administrative Handbook</w:t>
        </w:r>
      </w:hyperlink>
      <w:r w:rsidRPr="00C14D55">
        <w:t>.</w:t>
      </w:r>
    </w:p>
    <w:p w14:paraId="52C692CF" w14:textId="77777777" w:rsidR="000C751B" w:rsidRPr="00C14D55" w:rsidRDefault="000C751B" w:rsidP="00BD6117">
      <w:pPr>
        <w:pStyle w:val="VCAAbullet"/>
      </w:pPr>
      <w:r w:rsidRPr="00C14D55">
        <w:t>The examination will be marked by assessors appointed by the VCAA.</w:t>
      </w:r>
    </w:p>
    <w:p w14:paraId="26FAE84A" w14:textId="77777777" w:rsidR="000C751B" w:rsidRPr="00C14D55" w:rsidRDefault="000C751B" w:rsidP="00987A77">
      <w:pPr>
        <w:pStyle w:val="VCAAHeading4"/>
        <w:rPr>
          <w:lang w:val="en-AU"/>
        </w:rPr>
      </w:pPr>
      <w:bookmarkStart w:id="143" w:name="_Toc21953279"/>
      <w:r w:rsidRPr="00C14D55">
        <w:rPr>
          <w:lang w:val="en-AU"/>
        </w:rPr>
        <w:t>Further advice</w:t>
      </w:r>
      <w:bookmarkEnd w:id="143"/>
    </w:p>
    <w:p w14:paraId="02AE379A" w14:textId="4100632D" w:rsidR="000C751B" w:rsidRPr="00C14D55" w:rsidRDefault="000C751B" w:rsidP="00987A77">
      <w:pPr>
        <w:pStyle w:val="VCAAbody"/>
        <w:rPr>
          <w:noProof/>
          <w:sz w:val="18"/>
          <w:szCs w:val="18"/>
          <w:lang w:val="en-AU"/>
        </w:rPr>
      </w:pPr>
      <w:r w:rsidRPr="00C14D55">
        <w:rPr>
          <w:lang w:val="en-AU"/>
        </w:rPr>
        <w:t>The VCAA publishes specifications for all VCE examinations on the VCAA website. Examination specifications include details about the sections of the examination, their weighting, the question format(s) and any other essential information. The specifications are published in the first year of implementation of the revised Unit 3 and 4 sequence</w:t>
      </w:r>
      <w:r w:rsidR="000C24FF">
        <w:rPr>
          <w:lang w:val="en-AU"/>
        </w:rPr>
        <w:t>,</w:t>
      </w:r>
      <w:r w:rsidRPr="00C14D55">
        <w:rPr>
          <w:lang w:val="en-AU"/>
        </w:rPr>
        <w:t xml:space="preserve"> together with any sample material.</w:t>
      </w:r>
    </w:p>
    <w:p w14:paraId="0E55015D" w14:textId="22228E94" w:rsidR="007B5768" w:rsidRPr="00C14D55" w:rsidRDefault="007B5768" w:rsidP="000C751B">
      <w:pPr>
        <w:pStyle w:val="VCAAbody"/>
        <w:rPr>
          <w:noProof/>
          <w:sz w:val="18"/>
          <w:szCs w:val="18"/>
          <w:lang w:val="en-AU"/>
        </w:rPr>
      </w:pPr>
    </w:p>
    <w:sectPr w:rsidR="007B5768" w:rsidRPr="00C14D55" w:rsidSect="00253788">
      <w:pgSz w:w="11907" w:h="16840" w:code="9"/>
      <w:pgMar w:top="1411" w:right="850" w:bottom="1440" w:left="1138"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CB7313" w:rsidRDefault="00CB7313" w:rsidP="00304EA1">
      <w:pPr>
        <w:spacing w:after="0" w:line="240" w:lineRule="auto"/>
      </w:pPr>
      <w:r>
        <w:separator/>
      </w:r>
    </w:p>
  </w:endnote>
  <w:endnote w:type="continuationSeparator" w:id="0">
    <w:p w14:paraId="3270DF94" w14:textId="77777777" w:rsidR="00CB7313" w:rsidRDefault="00CB731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 LT 55 Roman">
    <w:altName w:val="Corbe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307"/>
      <w:gridCol w:w="3307"/>
      <w:gridCol w:w="3305"/>
    </w:tblGrid>
    <w:tr w:rsidR="00CB7313" w:rsidRPr="00D06414" w14:paraId="6474FD3B" w14:textId="77777777" w:rsidTr="00BB3BAB">
      <w:trPr>
        <w:trHeight w:val="476"/>
      </w:trPr>
      <w:tc>
        <w:tcPr>
          <w:tcW w:w="1667" w:type="pct"/>
          <w:tcMar>
            <w:left w:w="0" w:type="dxa"/>
            <w:right w:w="0" w:type="dxa"/>
          </w:tcMar>
        </w:tcPr>
        <w:p w14:paraId="0EC15F2D" w14:textId="1AD49438" w:rsidR="00CB7313" w:rsidRPr="00D06414" w:rsidRDefault="00CB731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CB7313" w:rsidRPr="00D06414" w:rsidRDefault="00CB731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4CE6686D" w:rsidR="00CB7313" w:rsidRPr="00D06414" w:rsidRDefault="00CB7313" w:rsidP="00CD4903">
          <w:pPr>
            <w:tabs>
              <w:tab w:val="right" w:pos="9639"/>
            </w:tabs>
            <w:spacing w:before="120" w:line="240" w:lineRule="exact"/>
            <w:ind w:right="56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5</w:t>
          </w:r>
          <w:r w:rsidRPr="00D06414">
            <w:rPr>
              <w:rFonts w:asciiTheme="majorHAnsi" w:hAnsiTheme="majorHAnsi" w:cs="Arial"/>
              <w:color w:val="999999" w:themeColor="accent2"/>
              <w:sz w:val="18"/>
              <w:szCs w:val="18"/>
            </w:rPr>
            <w:fldChar w:fldCharType="end"/>
          </w:r>
        </w:p>
      </w:tc>
    </w:tr>
  </w:tbl>
  <w:p w14:paraId="7723AB21" w14:textId="77777777" w:rsidR="00CB7313" w:rsidRPr="00D06414" w:rsidRDefault="00CB7313"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724"/>
      <w:gridCol w:w="3307"/>
      <w:gridCol w:w="3305"/>
    </w:tblGrid>
    <w:tr w:rsidR="00CB7313" w:rsidRPr="00D06414" w14:paraId="36A4ADC1" w14:textId="77777777" w:rsidTr="000F5AAF">
      <w:tc>
        <w:tcPr>
          <w:tcW w:w="1459" w:type="pct"/>
          <w:tcMar>
            <w:left w:w="0" w:type="dxa"/>
            <w:right w:w="0" w:type="dxa"/>
          </w:tcMar>
        </w:tcPr>
        <w:p w14:paraId="74DB1FC2" w14:textId="77777777" w:rsidR="00CB7313" w:rsidRPr="00D06414" w:rsidRDefault="00CB731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CB7313" w:rsidRPr="00D06414" w:rsidRDefault="00CB731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CB7313" w:rsidRPr="00D06414" w:rsidRDefault="00CB731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6D61C3F6" w:rsidR="00CB7313" w:rsidRPr="00D06414" w:rsidRDefault="00CB7313"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CB7313" w:rsidRDefault="00CB7313" w:rsidP="00304EA1">
      <w:pPr>
        <w:spacing w:after="0" w:line="240" w:lineRule="auto"/>
      </w:pPr>
      <w:r>
        <w:separator/>
      </w:r>
    </w:p>
  </w:footnote>
  <w:footnote w:type="continuationSeparator" w:id="0">
    <w:p w14:paraId="13540A36" w14:textId="77777777" w:rsidR="00CB7313" w:rsidRDefault="00CB731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CAA8" w14:textId="3971A69B" w:rsidR="00BB74C5" w:rsidRPr="00C26B81" w:rsidRDefault="00CB7313" w:rsidP="00BB74C5">
    <w:pPr>
      <w:tabs>
        <w:tab w:val="right" w:pos="9639"/>
      </w:tabs>
      <w:spacing w:before="240" w:after="0" w:line="240" w:lineRule="auto"/>
      <w:rPr>
        <w:rFonts w:ascii="Arial" w:hAnsi="Arial" w:cs="Arial"/>
        <w:b/>
        <w:sz w:val="18"/>
        <w:szCs w:val="18"/>
      </w:rPr>
    </w:pPr>
    <w:r w:rsidRPr="00BB74C5">
      <w:rPr>
        <w:color w:val="999999" w:themeColor="accent2"/>
        <w:sz w:val="18"/>
        <w:szCs w:val="18"/>
      </w:rPr>
      <w:t>VCE Health and Human Development Study Design 202</w:t>
    </w:r>
    <w:r w:rsidR="00A13D50">
      <w:rPr>
        <w:color w:val="999999" w:themeColor="accent2"/>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70CD" w14:textId="4F2F6242" w:rsidR="003F0989" w:rsidRPr="003F0989" w:rsidRDefault="003F0989" w:rsidP="003F0989">
    <w:pPr>
      <w:tabs>
        <w:tab w:val="right" w:pos="9639"/>
      </w:tabs>
      <w:spacing w:before="240" w:after="0" w:line="240" w:lineRule="auto"/>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7F2E" w14:textId="44B5D1F4" w:rsidR="00B96BEC" w:rsidRPr="00C26B81" w:rsidRDefault="00B96BEC" w:rsidP="00BB74C5">
    <w:pPr>
      <w:tabs>
        <w:tab w:val="right" w:pos="9639"/>
      </w:tabs>
      <w:spacing w:before="240" w:after="0" w:line="240" w:lineRule="auto"/>
      <w:rPr>
        <w:rFonts w:ascii="Arial" w:hAnsi="Arial" w:cs="Arial"/>
        <w:b/>
        <w:sz w:val="18"/>
        <w:szCs w:val="18"/>
      </w:rPr>
    </w:pPr>
    <w:r w:rsidRPr="00BB74C5">
      <w:rPr>
        <w:color w:val="999999" w:themeColor="accent2"/>
        <w:sz w:val="18"/>
        <w:szCs w:val="18"/>
      </w:rPr>
      <w:t>VCE Health and Human Development Study Design 2025</w:t>
    </w:r>
    <w:r w:rsidR="00A13D50">
      <w:rPr>
        <w:color w:val="999999" w:themeColor="accent2"/>
        <w:sz w:val="18"/>
        <w:szCs w:val="18"/>
      </w:rPr>
      <w:t xml:space="preserve">       </w:t>
    </w:r>
    <w:r>
      <w:rPr>
        <w:color w:val="999999" w:themeColor="accent2"/>
        <w:sz w:val="18"/>
        <w:szCs w:val="18"/>
      </w:rPr>
      <w:t xml:space="preserve">                                Unit 1: Health and Human Development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17BA" w14:textId="157F2F50" w:rsidR="00D637DB" w:rsidRPr="00C26B81" w:rsidRDefault="00D637DB" w:rsidP="00BB74C5">
    <w:pPr>
      <w:tabs>
        <w:tab w:val="right" w:pos="9639"/>
      </w:tabs>
      <w:spacing w:before="240" w:after="0" w:line="240" w:lineRule="auto"/>
      <w:rPr>
        <w:rFonts w:ascii="Arial" w:hAnsi="Arial" w:cs="Arial"/>
        <w:b/>
        <w:sz w:val="18"/>
        <w:szCs w:val="18"/>
      </w:rPr>
    </w:pPr>
    <w:r w:rsidRPr="00BB74C5">
      <w:rPr>
        <w:color w:val="999999" w:themeColor="accent2"/>
        <w:sz w:val="18"/>
        <w:szCs w:val="18"/>
      </w:rPr>
      <w:t>VCE Health and Human Development Study Design 2025</w:t>
    </w:r>
    <w:r w:rsidR="00A13D50">
      <w:rPr>
        <w:color w:val="999999" w:themeColor="accent2"/>
        <w:sz w:val="18"/>
        <w:szCs w:val="18"/>
      </w:rPr>
      <w:t xml:space="preserve">       </w:t>
    </w:r>
    <w:r>
      <w:rPr>
        <w:color w:val="999999" w:themeColor="accent2"/>
        <w:sz w:val="18"/>
        <w:szCs w:val="18"/>
      </w:rPr>
      <w:t xml:space="preserve">                                Unit </w:t>
    </w:r>
    <w:r w:rsidR="00253788">
      <w:rPr>
        <w:color w:val="999999" w:themeColor="accent2"/>
        <w:sz w:val="18"/>
        <w:szCs w:val="18"/>
      </w:rPr>
      <w:t>2</w:t>
    </w:r>
    <w:r>
      <w:rPr>
        <w:color w:val="999999" w:themeColor="accent2"/>
        <w:sz w:val="18"/>
        <w:szCs w:val="18"/>
      </w:rPr>
      <w:t>: Health and Human Development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04DF" w14:textId="67A672C7" w:rsidR="00253788" w:rsidRPr="00C26B81" w:rsidRDefault="00253788" w:rsidP="00BB74C5">
    <w:pPr>
      <w:tabs>
        <w:tab w:val="right" w:pos="9639"/>
      </w:tabs>
      <w:spacing w:before="240" w:after="0" w:line="240" w:lineRule="auto"/>
      <w:rPr>
        <w:rFonts w:ascii="Arial" w:hAnsi="Arial" w:cs="Arial"/>
        <w:b/>
        <w:sz w:val="18"/>
        <w:szCs w:val="18"/>
      </w:rPr>
    </w:pPr>
    <w:r w:rsidRPr="00BB74C5">
      <w:rPr>
        <w:color w:val="999999" w:themeColor="accent2"/>
        <w:sz w:val="18"/>
        <w:szCs w:val="18"/>
      </w:rPr>
      <w:t>VCE Health and Human Development Study Design 2025</w:t>
    </w:r>
    <w:r w:rsidR="00A13D50">
      <w:rPr>
        <w:color w:val="999999" w:themeColor="accent2"/>
        <w:sz w:val="18"/>
        <w:szCs w:val="18"/>
      </w:rPr>
      <w:t xml:space="preserve">       </w:t>
    </w:r>
    <w:r>
      <w:rPr>
        <w:color w:val="999999" w:themeColor="accent2"/>
        <w:sz w:val="18"/>
        <w:szCs w:val="18"/>
      </w:rPr>
      <w:t xml:space="preserve">                                Unit </w:t>
    </w:r>
    <w:r w:rsidR="001D1E2B">
      <w:rPr>
        <w:color w:val="999999" w:themeColor="accent2"/>
        <w:sz w:val="18"/>
        <w:szCs w:val="18"/>
      </w:rPr>
      <w:t>4</w:t>
    </w:r>
    <w:r>
      <w:rPr>
        <w:color w:val="999999" w:themeColor="accent2"/>
        <w:sz w:val="18"/>
        <w:szCs w:val="18"/>
      </w:rPr>
      <w:t>: Health and Human Development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1DE1" w14:textId="77777777" w:rsidR="00253788" w:rsidRPr="003F0989" w:rsidRDefault="00253788" w:rsidP="003F0989">
    <w:pPr>
      <w:tabs>
        <w:tab w:val="right" w:pos="9639"/>
      </w:tabs>
      <w:spacing w:before="240" w:after="0" w:line="240" w:lineRule="auto"/>
      <w:rPr>
        <w:rFonts w:ascii="Arial" w:hAnsi="Arial" w:cs="Arial"/>
        <w:b/>
        <w:sz w:val="18"/>
        <w:szCs w:val="18"/>
      </w:rPr>
    </w:pPr>
    <w:r w:rsidRPr="00BB74C5">
      <w:rPr>
        <w:color w:val="999999" w:themeColor="accent2"/>
        <w:sz w:val="18"/>
        <w:szCs w:val="18"/>
      </w:rPr>
      <w:t>VCE Health and Human Development Study Design 2025–2029</w:t>
    </w:r>
    <w:r>
      <w:rPr>
        <w:color w:val="999999" w:themeColor="accent2"/>
        <w:sz w:val="18"/>
        <w:szCs w:val="18"/>
      </w:rPr>
      <w:t xml:space="preserve">                           Unit 1: Understanding </w:t>
    </w:r>
    <w:proofErr w:type="spellStart"/>
    <w:r>
      <w:rPr>
        <w:color w:val="999999" w:themeColor="accent2"/>
        <w:sz w:val="18"/>
        <w:szCs w:val="18"/>
      </w:rPr>
      <w:t>healt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1CB"/>
    <w:multiLevelType w:val="hybridMultilevel"/>
    <w:tmpl w:val="B93A86D0"/>
    <w:lvl w:ilvl="0" w:tplc="4D423AAC">
      <w:start w:val="1"/>
      <w:numFmt w:val="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E65957"/>
    <w:multiLevelType w:val="hybridMultilevel"/>
    <w:tmpl w:val="2C5E993C"/>
    <w:lvl w:ilvl="0" w:tplc="428E9AD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7C464D"/>
    <w:multiLevelType w:val="hybridMultilevel"/>
    <w:tmpl w:val="66EAB2E6"/>
    <w:lvl w:ilvl="0" w:tplc="CB3EAE00">
      <w:start w:val="1"/>
      <w:numFmt w:val="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721DC2"/>
    <w:multiLevelType w:val="hybridMultilevel"/>
    <w:tmpl w:val="15ACB8F0"/>
    <w:lvl w:ilvl="0" w:tplc="7D50D21C">
      <w:start w:val="1"/>
      <w:numFmt w:val="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3C1CE8"/>
    <w:multiLevelType w:val="hybridMultilevel"/>
    <w:tmpl w:val="6896DEDC"/>
    <w:lvl w:ilvl="0" w:tplc="52A27F6A">
      <w:start w:val="1"/>
      <w:numFmt w:val="bullet"/>
      <w:lvlText w:val="•"/>
      <w:lvlJc w:val="left"/>
      <w:pPr>
        <w:ind w:left="283"/>
      </w:pPr>
      <w:rPr>
        <w:rFonts w:ascii="Arial" w:eastAsia="Arial" w:hAnsi="Arial" w:cs="Arial"/>
        <w:b w:val="0"/>
        <w:i w:val="0"/>
        <w:strike w:val="0"/>
        <w:dstrike w:val="0"/>
        <w:color w:val="939597"/>
        <w:sz w:val="20"/>
        <w:szCs w:val="20"/>
        <w:u w:val="none" w:color="000000"/>
        <w:bdr w:val="none" w:sz="0" w:space="0" w:color="auto"/>
        <w:shd w:val="clear" w:color="auto" w:fill="auto"/>
        <w:vertAlign w:val="baseline"/>
      </w:rPr>
    </w:lvl>
    <w:lvl w:ilvl="1" w:tplc="74320420">
      <w:start w:val="1"/>
      <w:numFmt w:val="bullet"/>
      <w:lvlText w:val="o"/>
      <w:lvlJc w:val="left"/>
      <w:pPr>
        <w:ind w:left="1080"/>
      </w:pPr>
      <w:rPr>
        <w:rFonts w:ascii="Arial" w:eastAsia="Arial" w:hAnsi="Arial" w:cs="Arial"/>
        <w:b w:val="0"/>
        <w:i w:val="0"/>
        <w:strike w:val="0"/>
        <w:dstrike w:val="0"/>
        <w:color w:val="939597"/>
        <w:sz w:val="20"/>
        <w:szCs w:val="20"/>
        <w:u w:val="none" w:color="000000"/>
        <w:bdr w:val="none" w:sz="0" w:space="0" w:color="auto"/>
        <w:shd w:val="clear" w:color="auto" w:fill="auto"/>
        <w:vertAlign w:val="baseline"/>
      </w:rPr>
    </w:lvl>
    <w:lvl w:ilvl="2" w:tplc="B83EAF38">
      <w:start w:val="1"/>
      <w:numFmt w:val="bullet"/>
      <w:lvlText w:val="▪"/>
      <w:lvlJc w:val="left"/>
      <w:pPr>
        <w:ind w:left="1800"/>
      </w:pPr>
      <w:rPr>
        <w:rFonts w:ascii="Arial" w:eastAsia="Arial" w:hAnsi="Arial" w:cs="Arial"/>
        <w:b w:val="0"/>
        <w:i w:val="0"/>
        <w:strike w:val="0"/>
        <w:dstrike w:val="0"/>
        <w:color w:val="939597"/>
        <w:sz w:val="20"/>
        <w:szCs w:val="20"/>
        <w:u w:val="none" w:color="000000"/>
        <w:bdr w:val="none" w:sz="0" w:space="0" w:color="auto"/>
        <w:shd w:val="clear" w:color="auto" w:fill="auto"/>
        <w:vertAlign w:val="baseline"/>
      </w:rPr>
    </w:lvl>
    <w:lvl w:ilvl="3" w:tplc="73B2DEB8">
      <w:start w:val="1"/>
      <w:numFmt w:val="bullet"/>
      <w:lvlText w:val="•"/>
      <w:lvlJc w:val="left"/>
      <w:pPr>
        <w:ind w:left="2520"/>
      </w:pPr>
      <w:rPr>
        <w:rFonts w:ascii="Arial" w:eastAsia="Arial" w:hAnsi="Arial" w:cs="Arial"/>
        <w:b w:val="0"/>
        <w:i w:val="0"/>
        <w:strike w:val="0"/>
        <w:dstrike w:val="0"/>
        <w:color w:val="939597"/>
        <w:sz w:val="20"/>
        <w:szCs w:val="20"/>
        <w:u w:val="none" w:color="000000"/>
        <w:bdr w:val="none" w:sz="0" w:space="0" w:color="auto"/>
        <w:shd w:val="clear" w:color="auto" w:fill="auto"/>
        <w:vertAlign w:val="baseline"/>
      </w:rPr>
    </w:lvl>
    <w:lvl w:ilvl="4" w:tplc="BD529678">
      <w:start w:val="1"/>
      <w:numFmt w:val="bullet"/>
      <w:lvlText w:val="o"/>
      <w:lvlJc w:val="left"/>
      <w:pPr>
        <w:ind w:left="3240"/>
      </w:pPr>
      <w:rPr>
        <w:rFonts w:ascii="Arial" w:eastAsia="Arial" w:hAnsi="Arial" w:cs="Arial"/>
        <w:b w:val="0"/>
        <w:i w:val="0"/>
        <w:strike w:val="0"/>
        <w:dstrike w:val="0"/>
        <w:color w:val="939597"/>
        <w:sz w:val="20"/>
        <w:szCs w:val="20"/>
        <w:u w:val="none" w:color="000000"/>
        <w:bdr w:val="none" w:sz="0" w:space="0" w:color="auto"/>
        <w:shd w:val="clear" w:color="auto" w:fill="auto"/>
        <w:vertAlign w:val="baseline"/>
      </w:rPr>
    </w:lvl>
    <w:lvl w:ilvl="5" w:tplc="1FF08594">
      <w:start w:val="1"/>
      <w:numFmt w:val="bullet"/>
      <w:lvlText w:val="▪"/>
      <w:lvlJc w:val="left"/>
      <w:pPr>
        <w:ind w:left="3960"/>
      </w:pPr>
      <w:rPr>
        <w:rFonts w:ascii="Arial" w:eastAsia="Arial" w:hAnsi="Arial" w:cs="Arial"/>
        <w:b w:val="0"/>
        <w:i w:val="0"/>
        <w:strike w:val="0"/>
        <w:dstrike w:val="0"/>
        <w:color w:val="939597"/>
        <w:sz w:val="20"/>
        <w:szCs w:val="20"/>
        <w:u w:val="none" w:color="000000"/>
        <w:bdr w:val="none" w:sz="0" w:space="0" w:color="auto"/>
        <w:shd w:val="clear" w:color="auto" w:fill="auto"/>
        <w:vertAlign w:val="baseline"/>
      </w:rPr>
    </w:lvl>
    <w:lvl w:ilvl="6" w:tplc="1F0EC30A">
      <w:start w:val="1"/>
      <w:numFmt w:val="bullet"/>
      <w:lvlText w:val="•"/>
      <w:lvlJc w:val="left"/>
      <w:pPr>
        <w:ind w:left="4680"/>
      </w:pPr>
      <w:rPr>
        <w:rFonts w:ascii="Arial" w:eastAsia="Arial" w:hAnsi="Arial" w:cs="Arial"/>
        <w:b w:val="0"/>
        <w:i w:val="0"/>
        <w:strike w:val="0"/>
        <w:dstrike w:val="0"/>
        <w:color w:val="939597"/>
        <w:sz w:val="20"/>
        <w:szCs w:val="20"/>
        <w:u w:val="none" w:color="000000"/>
        <w:bdr w:val="none" w:sz="0" w:space="0" w:color="auto"/>
        <w:shd w:val="clear" w:color="auto" w:fill="auto"/>
        <w:vertAlign w:val="baseline"/>
      </w:rPr>
    </w:lvl>
    <w:lvl w:ilvl="7" w:tplc="E5C2E9B0">
      <w:start w:val="1"/>
      <w:numFmt w:val="bullet"/>
      <w:lvlText w:val="o"/>
      <w:lvlJc w:val="left"/>
      <w:pPr>
        <w:ind w:left="5400"/>
      </w:pPr>
      <w:rPr>
        <w:rFonts w:ascii="Arial" w:eastAsia="Arial" w:hAnsi="Arial" w:cs="Arial"/>
        <w:b w:val="0"/>
        <w:i w:val="0"/>
        <w:strike w:val="0"/>
        <w:dstrike w:val="0"/>
        <w:color w:val="939597"/>
        <w:sz w:val="20"/>
        <w:szCs w:val="20"/>
        <w:u w:val="none" w:color="000000"/>
        <w:bdr w:val="none" w:sz="0" w:space="0" w:color="auto"/>
        <w:shd w:val="clear" w:color="auto" w:fill="auto"/>
        <w:vertAlign w:val="baseline"/>
      </w:rPr>
    </w:lvl>
    <w:lvl w:ilvl="8" w:tplc="AE0C97D4">
      <w:start w:val="1"/>
      <w:numFmt w:val="bullet"/>
      <w:lvlText w:val="▪"/>
      <w:lvlJc w:val="left"/>
      <w:pPr>
        <w:ind w:left="6120"/>
      </w:pPr>
      <w:rPr>
        <w:rFonts w:ascii="Arial" w:eastAsia="Arial" w:hAnsi="Arial" w:cs="Arial"/>
        <w:b w:val="0"/>
        <w:i w:val="0"/>
        <w:strike w:val="0"/>
        <w:dstrike w:val="0"/>
        <w:color w:val="939597"/>
        <w:sz w:val="20"/>
        <w:szCs w:val="20"/>
        <w:u w:val="none" w:color="000000"/>
        <w:bdr w:val="none" w:sz="0" w:space="0" w:color="auto"/>
        <w:shd w:val="clear" w:color="auto" w:fill="auto"/>
        <w:vertAlign w:val="baseline"/>
      </w:rPr>
    </w:lvl>
  </w:abstractNum>
  <w:abstractNum w:abstractNumId="5" w15:restartNumberingAfterBreak="0">
    <w:nsid w:val="19295D7B"/>
    <w:multiLevelType w:val="hybridMultilevel"/>
    <w:tmpl w:val="FB1C01BA"/>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7A148B"/>
    <w:multiLevelType w:val="hybridMultilevel"/>
    <w:tmpl w:val="7F9E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F718D"/>
    <w:multiLevelType w:val="hybridMultilevel"/>
    <w:tmpl w:val="1ADE1724"/>
    <w:lvl w:ilvl="0" w:tplc="0C090003">
      <w:start w:val="1"/>
      <w:numFmt w:val="bullet"/>
      <w:lvlText w:val="o"/>
      <w:lvlJc w:val="left"/>
      <w:pPr>
        <w:ind w:left="1152" w:hanging="360"/>
      </w:pPr>
      <w:rPr>
        <w:rFonts w:ascii="Courier New" w:hAnsi="Courier New" w:cs="Courier New" w:hint="default"/>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8" w15:restartNumberingAfterBreak="0">
    <w:nsid w:val="219D3297"/>
    <w:multiLevelType w:val="hybridMultilevel"/>
    <w:tmpl w:val="A35C78A0"/>
    <w:lvl w:ilvl="0" w:tplc="BC3A71E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DB6B22"/>
    <w:multiLevelType w:val="hybridMultilevel"/>
    <w:tmpl w:val="DA50BC9A"/>
    <w:lvl w:ilvl="0" w:tplc="DE84221E">
      <w:start w:val="1"/>
      <w:numFmt w:val="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8775B9"/>
    <w:multiLevelType w:val="hybridMultilevel"/>
    <w:tmpl w:val="32903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55F47"/>
    <w:multiLevelType w:val="hybridMultilevel"/>
    <w:tmpl w:val="59824564"/>
    <w:lvl w:ilvl="0" w:tplc="6AF004D2">
      <w:start w:val="1"/>
      <w:numFmt w:val="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98707A"/>
    <w:multiLevelType w:val="hybridMultilevel"/>
    <w:tmpl w:val="1FB0F4E4"/>
    <w:lvl w:ilvl="0" w:tplc="97C630F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02B1590"/>
    <w:multiLevelType w:val="hybridMultilevel"/>
    <w:tmpl w:val="A192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730E7F"/>
    <w:multiLevelType w:val="hybridMultilevel"/>
    <w:tmpl w:val="389AB506"/>
    <w:lvl w:ilvl="0" w:tplc="6CB6F0D2">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1924A43"/>
    <w:multiLevelType w:val="hybridMultilevel"/>
    <w:tmpl w:val="425E9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E337BD"/>
    <w:multiLevelType w:val="hybridMultilevel"/>
    <w:tmpl w:val="B656A106"/>
    <w:lvl w:ilvl="0" w:tplc="F00A52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1404E8"/>
    <w:multiLevelType w:val="hybridMultilevel"/>
    <w:tmpl w:val="C57CB336"/>
    <w:lvl w:ilvl="0" w:tplc="5D9C860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9C860C">
      <w:start w:val="1"/>
      <w:numFmt w:val="bullet"/>
      <w:lvlText w:val="–"/>
      <w:lvlJc w:val="left"/>
      <w:pPr>
        <w:ind w:left="144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B5DEB"/>
    <w:multiLevelType w:val="hybridMultilevel"/>
    <w:tmpl w:val="86DC35DC"/>
    <w:lvl w:ilvl="0" w:tplc="C6E4CEBC">
      <w:start w:val="1"/>
      <w:numFmt w:val="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054BC9"/>
    <w:multiLevelType w:val="hybridMultilevel"/>
    <w:tmpl w:val="CCD839B2"/>
    <w:lvl w:ilvl="0" w:tplc="36C0D61A">
      <w:start w:val="1"/>
      <w:numFmt w:val="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FB7210"/>
    <w:multiLevelType w:val="hybridMultilevel"/>
    <w:tmpl w:val="C0843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FC38EB"/>
    <w:multiLevelType w:val="hybridMultilevel"/>
    <w:tmpl w:val="BB648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F249DB"/>
    <w:multiLevelType w:val="hybridMultilevel"/>
    <w:tmpl w:val="ECB0CF38"/>
    <w:lvl w:ilvl="0" w:tplc="50426742">
      <w:numFmt w:val="bullet"/>
      <w:pStyle w:val="VCAAbulletlevel2"/>
      <w:lvlText w:val="–"/>
      <w:lvlJc w:val="left"/>
      <w:pPr>
        <w:ind w:left="785" w:hanging="360"/>
      </w:pPr>
      <w:rPr>
        <w:rFonts w:ascii="Arial" w:eastAsia="Times New Roman"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4" w15:restartNumberingAfterBreak="0">
    <w:nsid w:val="56C803A5"/>
    <w:multiLevelType w:val="hybridMultilevel"/>
    <w:tmpl w:val="24C85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2C799B"/>
    <w:multiLevelType w:val="hybridMultilevel"/>
    <w:tmpl w:val="DBEEDAA2"/>
    <w:lvl w:ilvl="0" w:tplc="F28EF3CE">
      <w:start w:val="1"/>
      <w:numFmt w:val="bullet"/>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603F169B"/>
    <w:multiLevelType w:val="hybridMultilevel"/>
    <w:tmpl w:val="6AE08B94"/>
    <w:lvl w:ilvl="0" w:tplc="3F24AF54">
      <w:start w:val="1"/>
      <w:numFmt w:val="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872B6C"/>
    <w:multiLevelType w:val="hybridMultilevel"/>
    <w:tmpl w:val="1B6C555E"/>
    <w:lvl w:ilvl="0" w:tplc="5E462FFA">
      <w:start w:val="1"/>
      <w:numFmt w:val="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9" w15:restartNumberingAfterBreak="0">
    <w:nsid w:val="6989098C"/>
    <w:multiLevelType w:val="hybridMultilevel"/>
    <w:tmpl w:val="FB34BC5C"/>
    <w:lvl w:ilvl="0" w:tplc="2E5615E8">
      <w:numFmt w:val="bullet"/>
      <w:lvlText w:val="-"/>
      <w:lvlJc w:val="left"/>
      <w:pPr>
        <w:ind w:left="1145" w:hanging="360"/>
      </w:pPr>
      <w:rPr>
        <w:rFonts w:ascii="Arial" w:eastAsia="Times New Roman" w:hAnsi="Arial" w:cs="Aria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0" w15:restartNumberingAfterBreak="0">
    <w:nsid w:val="78B223B0"/>
    <w:multiLevelType w:val="hybridMultilevel"/>
    <w:tmpl w:val="A8007904"/>
    <w:lvl w:ilvl="0" w:tplc="1F1CBC26">
      <w:start w:val="1"/>
      <w:numFmt w:val="bullet"/>
      <w:lvlText w:val=""/>
      <w:lvlJc w:val="left"/>
      <w:pPr>
        <w:ind w:left="-43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5D9C860C">
      <w:start w:val="1"/>
      <w:numFmt w:val="bullet"/>
      <w:lvlText w:val="–"/>
      <w:lvlJc w:val="left"/>
      <w:pPr>
        <w:ind w:left="-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AA7426">
      <w:start w:val="1"/>
      <w:numFmt w:val="bullet"/>
      <w:lvlText w:val="▪"/>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180138">
      <w:start w:val="1"/>
      <w:numFmt w:val="bullet"/>
      <w:lvlText w:val="•"/>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583C1C">
      <w:start w:val="1"/>
      <w:numFmt w:val="bullet"/>
      <w:lvlText w:val="o"/>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FEC2C4">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F29FCE">
      <w:start w:val="1"/>
      <w:numFmt w:val="bullet"/>
      <w:lvlText w:val="•"/>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4C4C48">
      <w:start w:val="1"/>
      <w:numFmt w:val="bullet"/>
      <w:lvlText w:val="o"/>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A6FB30">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A1F59CD"/>
    <w:multiLevelType w:val="hybridMultilevel"/>
    <w:tmpl w:val="B972E8F4"/>
    <w:lvl w:ilvl="0" w:tplc="8CD08DF0">
      <w:start w:val="1"/>
      <w:numFmt w:val="bullet"/>
      <w:pStyle w:val="VCAA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84452645">
    <w:abstractNumId w:val="28"/>
  </w:num>
  <w:num w:numId="2" w16cid:durableId="219481974">
    <w:abstractNumId w:val="25"/>
  </w:num>
  <w:num w:numId="3" w16cid:durableId="1747871881">
    <w:abstractNumId w:val="15"/>
  </w:num>
  <w:num w:numId="4" w16cid:durableId="606695738">
    <w:abstractNumId w:val="5"/>
  </w:num>
  <w:num w:numId="5" w16cid:durableId="68354743">
    <w:abstractNumId w:val="26"/>
  </w:num>
  <w:num w:numId="6" w16cid:durableId="791363106">
    <w:abstractNumId w:val="13"/>
  </w:num>
  <w:num w:numId="7" w16cid:durableId="721170385">
    <w:abstractNumId w:val="4"/>
  </w:num>
  <w:num w:numId="8" w16cid:durableId="2127236231">
    <w:abstractNumId w:val="6"/>
  </w:num>
  <w:num w:numId="9" w16cid:durableId="1322656254">
    <w:abstractNumId w:val="10"/>
  </w:num>
  <w:num w:numId="10" w16cid:durableId="997148697">
    <w:abstractNumId w:val="24"/>
  </w:num>
  <w:num w:numId="11" w16cid:durableId="810945118">
    <w:abstractNumId w:val="30"/>
  </w:num>
  <w:num w:numId="12" w16cid:durableId="806969079">
    <w:abstractNumId w:val="18"/>
  </w:num>
  <w:num w:numId="13" w16cid:durableId="738478941">
    <w:abstractNumId w:val="16"/>
  </w:num>
  <w:num w:numId="14" w16cid:durableId="1280143553">
    <w:abstractNumId w:val="22"/>
  </w:num>
  <w:num w:numId="15" w16cid:durableId="1214998710">
    <w:abstractNumId w:val="17"/>
  </w:num>
  <w:num w:numId="16" w16cid:durableId="418601201">
    <w:abstractNumId w:val="29"/>
  </w:num>
  <w:num w:numId="17" w16cid:durableId="77793543">
    <w:abstractNumId w:val="21"/>
  </w:num>
  <w:num w:numId="18" w16cid:durableId="1961258830">
    <w:abstractNumId w:val="7"/>
  </w:num>
  <w:num w:numId="19" w16cid:durableId="1510174558">
    <w:abstractNumId w:val="14"/>
  </w:num>
  <w:num w:numId="20" w16cid:durableId="987175646">
    <w:abstractNumId w:val="8"/>
  </w:num>
  <w:num w:numId="21" w16cid:durableId="307587290">
    <w:abstractNumId w:val="28"/>
  </w:num>
  <w:num w:numId="22" w16cid:durableId="1754932090">
    <w:abstractNumId w:val="25"/>
  </w:num>
  <w:num w:numId="23" w16cid:durableId="368648732">
    <w:abstractNumId w:val="5"/>
  </w:num>
  <w:num w:numId="24" w16cid:durableId="1889996342">
    <w:abstractNumId w:val="20"/>
  </w:num>
  <w:num w:numId="25" w16cid:durableId="1304582554">
    <w:abstractNumId w:val="3"/>
  </w:num>
  <w:num w:numId="26" w16cid:durableId="1132290593">
    <w:abstractNumId w:val="19"/>
  </w:num>
  <w:num w:numId="27" w16cid:durableId="1127620291">
    <w:abstractNumId w:val="2"/>
  </w:num>
  <w:num w:numId="28" w16cid:durableId="1740441850">
    <w:abstractNumId w:val="0"/>
  </w:num>
  <w:num w:numId="29" w16cid:durableId="74203894">
    <w:abstractNumId w:val="9"/>
  </w:num>
  <w:num w:numId="30" w16cid:durableId="28532666">
    <w:abstractNumId w:val="11"/>
  </w:num>
  <w:num w:numId="31" w16cid:durableId="674697356">
    <w:abstractNumId w:val="31"/>
  </w:num>
  <w:num w:numId="32" w16cid:durableId="435710173">
    <w:abstractNumId w:val="27"/>
  </w:num>
  <w:num w:numId="33" w16cid:durableId="876964131">
    <w:abstractNumId w:val="12"/>
  </w:num>
  <w:num w:numId="34" w16cid:durableId="1719890811">
    <w:abstractNumId w:val="1"/>
  </w:num>
  <w:num w:numId="35" w16cid:durableId="5474995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3222"/>
    <w:rsid w:val="00003885"/>
    <w:rsid w:val="00004AB7"/>
    <w:rsid w:val="000061A9"/>
    <w:rsid w:val="000168F7"/>
    <w:rsid w:val="000171F4"/>
    <w:rsid w:val="00022A2E"/>
    <w:rsid w:val="00023A8A"/>
    <w:rsid w:val="00034435"/>
    <w:rsid w:val="00040BF9"/>
    <w:rsid w:val="000433EB"/>
    <w:rsid w:val="000479E0"/>
    <w:rsid w:val="000547A0"/>
    <w:rsid w:val="00054ADD"/>
    <w:rsid w:val="0005780E"/>
    <w:rsid w:val="0006050B"/>
    <w:rsid w:val="000640CC"/>
    <w:rsid w:val="00065CC6"/>
    <w:rsid w:val="000704A4"/>
    <w:rsid w:val="00070A62"/>
    <w:rsid w:val="000717A6"/>
    <w:rsid w:val="000857FE"/>
    <w:rsid w:val="00092A1F"/>
    <w:rsid w:val="00093680"/>
    <w:rsid w:val="000A21BC"/>
    <w:rsid w:val="000A5142"/>
    <w:rsid w:val="000A5F88"/>
    <w:rsid w:val="000A71F7"/>
    <w:rsid w:val="000B0F4C"/>
    <w:rsid w:val="000B2E8D"/>
    <w:rsid w:val="000B5F41"/>
    <w:rsid w:val="000B6079"/>
    <w:rsid w:val="000C24FF"/>
    <w:rsid w:val="000C620A"/>
    <w:rsid w:val="000C6F5E"/>
    <w:rsid w:val="000C751B"/>
    <w:rsid w:val="000D1870"/>
    <w:rsid w:val="000D6705"/>
    <w:rsid w:val="000E3376"/>
    <w:rsid w:val="000E5796"/>
    <w:rsid w:val="000F09E4"/>
    <w:rsid w:val="000F16FD"/>
    <w:rsid w:val="000F37DF"/>
    <w:rsid w:val="000F4667"/>
    <w:rsid w:val="000F5885"/>
    <w:rsid w:val="000F5AAF"/>
    <w:rsid w:val="000F7925"/>
    <w:rsid w:val="00102253"/>
    <w:rsid w:val="0010568D"/>
    <w:rsid w:val="001107C3"/>
    <w:rsid w:val="001107D7"/>
    <w:rsid w:val="00115A59"/>
    <w:rsid w:val="00116785"/>
    <w:rsid w:val="001215FB"/>
    <w:rsid w:val="001253F5"/>
    <w:rsid w:val="00126F77"/>
    <w:rsid w:val="00131AC0"/>
    <w:rsid w:val="00136CC8"/>
    <w:rsid w:val="0013725E"/>
    <w:rsid w:val="0013779C"/>
    <w:rsid w:val="00143520"/>
    <w:rsid w:val="001448EB"/>
    <w:rsid w:val="00144969"/>
    <w:rsid w:val="001528BE"/>
    <w:rsid w:val="00153AD2"/>
    <w:rsid w:val="00154FD1"/>
    <w:rsid w:val="00157289"/>
    <w:rsid w:val="00157C8F"/>
    <w:rsid w:val="00162A93"/>
    <w:rsid w:val="00165CAE"/>
    <w:rsid w:val="00166A20"/>
    <w:rsid w:val="00173DFE"/>
    <w:rsid w:val="001779EA"/>
    <w:rsid w:val="00183D25"/>
    <w:rsid w:val="00184D09"/>
    <w:rsid w:val="00187BC9"/>
    <w:rsid w:val="001952D7"/>
    <w:rsid w:val="001967C2"/>
    <w:rsid w:val="00197DB6"/>
    <w:rsid w:val="001A09AF"/>
    <w:rsid w:val="001A0F1C"/>
    <w:rsid w:val="001A1D2A"/>
    <w:rsid w:val="001A68AE"/>
    <w:rsid w:val="001B153F"/>
    <w:rsid w:val="001B2D79"/>
    <w:rsid w:val="001B3FBF"/>
    <w:rsid w:val="001C7842"/>
    <w:rsid w:val="001D0089"/>
    <w:rsid w:val="001D1BF4"/>
    <w:rsid w:val="001D1E2B"/>
    <w:rsid w:val="001D3246"/>
    <w:rsid w:val="001D5077"/>
    <w:rsid w:val="001E36F8"/>
    <w:rsid w:val="001F405C"/>
    <w:rsid w:val="001F664E"/>
    <w:rsid w:val="001F7391"/>
    <w:rsid w:val="001F7714"/>
    <w:rsid w:val="0020457C"/>
    <w:rsid w:val="0020738D"/>
    <w:rsid w:val="00212A01"/>
    <w:rsid w:val="002153D2"/>
    <w:rsid w:val="00215897"/>
    <w:rsid w:val="00223398"/>
    <w:rsid w:val="00226676"/>
    <w:rsid w:val="002279BA"/>
    <w:rsid w:val="00232334"/>
    <w:rsid w:val="002329F3"/>
    <w:rsid w:val="00235BB3"/>
    <w:rsid w:val="00236E98"/>
    <w:rsid w:val="002402C1"/>
    <w:rsid w:val="00241D51"/>
    <w:rsid w:val="00243F0D"/>
    <w:rsid w:val="00247EBA"/>
    <w:rsid w:val="00252972"/>
    <w:rsid w:val="00253788"/>
    <w:rsid w:val="0025445B"/>
    <w:rsid w:val="002575CF"/>
    <w:rsid w:val="00257CB0"/>
    <w:rsid w:val="00260767"/>
    <w:rsid w:val="002647BB"/>
    <w:rsid w:val="00265682"/>
    <w:rsid w:val="002671A2"/>
    <w:rsid w:val="00271758"/>
    <w:rsid w:val="002754C1"/>
    <w:rsid w:val="00277B51"/>
    <w:rsid w:val="00280CF0"/>
    <w:rsid w:val="002822BE"/>
    <w:rsid w:val="00283EAE"/>
    <w:rsid w:val="002841C8"/>
    <w:rsid w:val="0028516B"/>
    <w:rsid w:val="00286388"/>
    <w:rsid w:val="00286780"/>
    <w:rsid w:val="0029640F"/>
    <w:rsid w:val="00296772"/>
    <w:rsid w:val="002A362B"/>
    <w:rsid w:val="002A6F5B"/>
    <w:rsid w:val="002B232C"/>
    <w:rsid w:val="002B64F9"/>
    <w:rsid w:val="002C0A12"/>
    <w:rsid w:val="002C139D"/>
    <w:rsid w:val="002C14A2"/>
    <w:rsid w:val="002C1705"/>
    <w:rsid w:val="002C1908"/>
    <w:rsid w:val="002C4122"/>
    <w:rsid w:val="002C6F90"/>
    <w:rsid w:val="002D0A30"/>
    <w:rsid w:val="002D25F7"/>
    <w:rsid w:val="002D4DD4"/>
    <w:rsid w:val="002E0D8A"/>
    <w:rsid w:val="002E19B8"/>
    <w:rsid w:val="002E255E"/>
    <w:rsid w:val="002E4FB5"/>
    <w:rsid w:val="002E5D29"/>
    <w:rsid w:val="002F0651"/>
    <w:rsid w:val="002F484C"/>
    <w:rsid w:val="002F6275"/>
    <w:rsid w:val="00302FB8"/>
    <w:rsid w:val="00304D8D"/>
    <w:rsid w:val="00304E66"/>
    <w:rsid w:val="00304EA1"/>
    <w:rsid w:val="00310CA3"/>
    <w:rsid w:val="003115BD"/>
    <w:rsid w:val="003127CB"/>
    <w:rsid w:val="00314920"/>
    <w:rsid w:val="00314D81"/>
    <w:rsid w:val="00316434"/>
    <w:rsid w:val="00322152"/>
    <w:rsid w:val="00322FC6"/>
    <w:rsid w:val="003239EC"/>
    <w:rsid w:val="0033241E"/>
    <w:rsid w:val="0033391F"/>
    <w:rsid w:val="00336490"/>
    <w:rsid w:val="00336B43"/>
    <w:rsid w:val="00340244"/>
    <w:rsid w:val="00341D1E"/>
    <w:rsid w:val="003458DC"/>
    <w:rsid w:val="00346073"/>
    <w:rsid w:val="003518B7"/>
    <w:rsid w:val="0035293F"/>
    <w:rsid w:val="00353320"/>
    <w:rsid w:val="003539BA"/>
    <w:rsid w:val="00353B07"/>
    <w:rsid w:val="003552CA"/>
    <w:rsid w:val="003575F8"/>
    <w:rsid w:val="00371108"/>
    <w:rsid w:val="003720AA"/>
    <w:rsid w:val="0037619D"/>
    <w:rsid w:val="00377F2A"/>
    <w:rsid w:val="003830D9"/>
    <w:rsid w:val="00383B97"/>
    <w:rsid w:val="00391986"/>
    <w:rsid w:val="0039232A"/>
    <w:rsid w:val="00395ECA"/>
    <w:rsid w:val="0039688B"/>
    <w:rsid w:val="00397B20"/>
    <w:rsid w:val="003A00B4"/>
    <w:rsid w:val="003A2B5C"/>
    <w:rsid w:val="003A2CE2"/>
    <w:rsid w:val="003B00C6"/>
    <w:rsid w:val="003B05DB"/>
    <w:rsid w:val="003B4C8A"/>
    <w:rsid w:val="003C01FC"/>
    <w:rsid w:val="003C20EB"/>
    <w:rsid w:val="003C4097"/>
    <w:rsid w:val="003C5E71"/>
    <w:rsid w:val="003C66BE"/>
    <w:rsid w:val="003D0E8E"/>
    <w:rsid w:val="003D1095"/>
    <w:rsid w:val="003D7C3E"/>
    <w:rsid w:val="003E12A6"/>
    <w:rsid w:val="003E1F26"/>
    <w:rsid w:val="003E6EC1"/>
    <w:rsid w:val="003E7028"/>
    <w:rsid w:val="003E7F90"/>
    <w:rsid w:val="003F0989"/>
    <w:rsid w:val="003F16C5"/>
    <w:rsid w:val="003F3FAF"/>
    <w:rsid w:val="004006A0"/>
    <w:rsid w:val="004057A7"/>
    <w:rsid w:val="00410B66"/>
    <w:rsid w:val="00417AA3"/>
    <w:rsid w:val="004225C8"/>
    <w:rsid w:val="00422E3D"/>
    <w:rsid w:val="00423B69"/>
    <w:rsid w:val="00424738"/>
    <w:rsid w:val="00425DFE"/>
    <w:rsid w:val="004275CD"/>
    <w:rsid w:val="00431564"/>
    <w:rsid w:val="00432BDB"/>
    <w:rsid w:val="00434EDB"/>
    <w:rsid w:val="00435B7B"/>
    <w:rsid w:val="00440102"/>
    <w:rsid w:val="00440B32"/>
    <w:rsid w:val="00442A4F"/>
    <w:rsid w:val="00450F0B"/>
    <w:rsid w:val="00453AB0"/>
    <w:rsid w:val="0045593B"/>
    <w:rsid w:val="00455FAA"/>
    <w:rsid w:val="00457826"/>
    <w:rsid w:val="0046078D"/>
    <w:rsid w:val="00466D2D"/>
    <w:rsid w:val="00466F34"/>
    <w:rsid w:val="004716AB"/>
    <w:rsid w:val="0047172F"/>
    <w:rsid w:val="00472ED1"/>
    <w:rsid w:val="00473859"/>
    <w:rsid w:val="00475CB2"/>
    <w:rsid w:val="00485EED"/>
    <w:rsid w:val="00495C80"/>
    <w:rsid w:val="00497880"/>
    <w:rsid w:val="004A0D6A"/>
    <w:rsid w:val="004A2ED8"/>
    <w:rsid w:val="004A55FF"/>
    <w:rsid w:val="004A6E8F"/>
    <w:rsid w:val="004B1355"/>
    <w:rsid w:val="004B431C"/>
    <w:rsid w:val="004B6178"/>
    <w:rsid w:val="004B78A4"/>
    <w:rsid w:val="004D06CF"/>
    <w:rsid w:val="004D074D"/>
    <w:rsid w:val="004D3B0B"/>
    <w:rsid w:val="004D4035"/>
    <w:rsid w:val="004D48F1"/>
    <w:rsid w:val="004D68EA"/>
    <w:rsid w:val="004E487F"/>
    <w:rsid w:val="004E494C"/>
    <w:rsid w:val="004F1876"/>
    <w:rsid w:val="004F2472"/>
    <w:rsid w:val="004F537B"/>
    <w:rsid w:val="004F5BDA"/>
    <w:rsid w:val="005026ED"/>
    <w:rsid w:val="0050498A"/>
    <w:rsid w:val="00505EDF"/>
    <w:rsid w:val="00507A42"/>
    <w:rsid w:val="00511524"/>
    <w:rsid w:val="005119C0"/>
    <w:rsid w:val="0051235D"/>
    <w:rsid w:val="00512BC9"/>
    <w:rsid w:val="00514EBF"/>
    <w:rsid w:val="00515C09"/>
    <w:rsid w:val="0051631E"/>
    <w:rsid w:val="005167A0"/>
    <w:rsid w:val="0052194D"/>
    <w:rsid w:val="00527249"/>
    <w:rsid w:val="00530A58"/>
    <w:rsid w:val="00531050"/>
    <w:rsid w:val="00537A1F"/>
    <w:rsid w:val="00540F54"/>
    <w:rsid w:val="00544D03"/>
    <w:rsid w:val="00545C77"/>
    <w:rsid w:val="00551F06"/>
    <w:rsid w:val="00554F05"/>
    <w:rsid w:val="0055631E"/>
    <w:rsid w:val="005608A7"/>
    <w:rsid w:val="0056500A"/>
    <w:rsid w:val="00566029"/>
    <w:rsid w:val="00566ADF"/>
    <w:rsid w:val="00574637"/>
    <w:rsid w:val="00575D6E"/>
    <w:rsid w:val="00585188"/>
    <w:rsid w:val="00585F7D"/>
    <w:rsid w:val="00586316"/>
    <w:rsid w:val="005901E6"/>
    <w:rsid w:val="0059037F"/>
    <w:rsid w:val="005923CB"/>
    <w:rsid w:val="005923E1"/>
    <w:rsid w:val="00592DB9"/>
    <w:rsid w:val="0059629B"/>
    <w:rsid w:val="005A253C"/>
    <w:rsid w:val="005A2E52"/>
    <w:rsid w:val="005A3151"/>
    <w:rsid w:val="005A32AB"/>
    <w:rsid w:val="005A4798"/>
    <w:rsid w:val="005A7BE7"/>
    <w:rsid w:val="005B391B"/>
    <w:rsid w:val="005B3F85"/>
    <w:rsid w:val="005B6E0F"/>
    <w:rsid w:val="005C0281"/>
    <w:rsid w:val="005C0388"/>
    <w:rsid w:val="005C7D16"/>
    <w:rsid w:val="005D3D78"/>
    <w:rsid w:val="005E1097"/>
    <w:rsid w:val="005E2A71"/>
    <w:rsid w:val="005E2EF0"/>
    <w:rsid w:val="005F35AD"/>
    <w:rsid w:val="005F4092"/>
    <w:rsid w:val="005F479C"/>
    <w:rsid w:val="005F7DEE"/>
    <w:rsid w:val="00606845"/>
    <w:rsid w:val="00611664"/>
    <w:rsid w:val="006116EC"/>
    <w:rsid w:val="00614498"/>
    <w:rsid w:val="00617FBB"/>
    <w:rsid w:val="0062245E"/>
    <w:rsid w:val="006225D6"/>
    <w:rsid w:val="00626A2D"/>
    <w:rsid w:val="006315F7"/>
    <w:rsid w:val="00632DF9"/>
    <w:rsid w:val="006339E6"/>
    <w:rsid w:val="0064258C"/>
    <w:rsid w:val="006425F3"/>
    <w:rsid w:val="00646BAC"/>
    <w:rsid w:val="0065254E"/>
    <w:rsid w:val="006527C9"/>
    <w:rsid w:val="00653ECB"/>
    <w:rsid w:val="00655B58"/>
    <w:rsid w:val="00660395"/>
    <w:rsid w:val="006604D3"/>
    <w:rsid w:val="006614CA"/>
    <w:rsid w:val="00663001"/>
    <w:rsid w:val="00663D55"/>
    <w:rsid w:val="006660F2"/>
    <w:rsid w:val="00670362"/>
    <w:rsid w:val="00673B2A"/>
    <w:rsid w:val="00681CA6"/>
    <w:rsid w:val="0068471E"/>
    <w:rsid w:val="00684F98"/>
    <w:rsid w:val="006854AB"/>
    <w:rsid w:val="0068564A"/>
    <w:rsid w:val="006879F3"/>
    <w:rsid w:val="00687ED3"/>
    <w:rsid w:val="00690E6F"/>
    <w:rsid w:val="00693FFD"/>
    <w:rsid w:val="00694C7C"/>
    <w:rsid w:val="00696558"/>
    <w:rsid w:val="006A206E"/>
    <w:rsid w:val="006A2F4F"/>
    <w:rsid w:val="006A4C4D"/>
    <w:rsid w:val="006A643C"/>
    <w:rsid w:val="006A6C9C"/>
    <w:rsid w:val="006B0FD9"/>
    <w:rsid w:val="006C326F"/>
    <w:rsid w:val="006C5840"/>
    <w:rsid w:val="006D03E1"/>
    <w:rsid w:val="006D2159"/>
    <w:rsid w:val="006D2C8F"/>
    <w:rsid w:val="006E3667"/>
    <w:rsid w:val="006E6573"/>
    <w:rsid w:val="006F1994"/>
    <w:rsid w:val="006F2C01"/>
    <w:rsid w:val="006F3268"/>
    <w:rsid w:val="006F37C4"/>
    <w:rsid w:val="006F787C"/>
    <w:rsid w:val="00700317"/>
    <w:rsid w:val="00702636"/>
    <w:rsid w:val="00705060"/>
    <w:rsid w:val="00710390"/>
    <w:rsid w:val="00710651"/>
    <w:rsid w:val="00711321"/>
    <w:rsid w:val="007127E0"/>
    <w:rsid w:val="00714D4B"/>
    <w:rsid w:val="007177FE"/>
    <w:rsid w:val="007208A6"/>
    <w:rsid w:val="00724507"/>
    <w:rsid w:val="007255FF"/>
    <w:rsid w:val="007350F0"/>
    <w:rsid w:val="0073631E"/>
    <w:rsid w:val="007377A3"/>
    <w:rsid w:val="0074001E"/>
    <w:rsid w:val="0074058C"/>
    <w:rsid w:val="007423DC"/>
    <w:rsid w:val="00742A80"/>
    <w:rsid w:val="007556CB"/>
    <w:rsid w:val="007564A1"/>
    <w:rsid w:val="007575C8"/>
    <w:rsid w:val="007601F2"/>
    <w:rsid w:val="00767EBC"/>
    <w:rsid w:val="00773130"/>
    <w:rsid w:val="00773E6C"/>
    <w:rsid w:val="0077402F"/>
    <w:rsid w:val="00781FB1"/>
    <w:rsid w:val="00791168"/>
    <w:rsid w:val="00791D0E"/>
    <w:rsid w:val="0079461E"/>
    <w:rsid w:val="007A127D"/>
    <w:rsid w:val="007B252C"/>
    <w:rsid w:val="007B4FE0"/>
    <w:rsid w:val="007B5768"/>
    <w:rsid w:val="007C048A"/>
    <w:rsid w:val="007C05C5"/>
    <w:rsid w:val="007C24B3"/>
    <w:rsid w:val="007C4427"/>
    <w:rsid w:val="007C6AD5"/>
    <w:rsid w:val="007D0CA0"/>
    <w:rsid w:val="007D1B6D"/>
    <w:rsid w:val="007D62B3"/>
    <w:rsid w:val="007E04CC"/>
    <w:rsid w:val="007E0BB7"/>
    <w:rsid w:val="007F12CE"/>
    <w:rsid w:val="007F3D2C"/>
    <w:rsid w:val="007F4B91"/>
    <w:rsid w:val="007F56AF"/>
    <w:rsid w:val="00800879"/>
    <w:rsid w:val="00805F5C"/>
    <w:rsid w:val="00806758"/>
    <w:rsid w:val="00813C37"/>
    <w:rsid w:val="00814C8A"/>
    <w:rsid w:val="00814FED"/>
    <w:rsid w:val="008154B5"/>
    <w:rsid w:val="008159A7"/>
    <w:rsid w:val="00816DA3"/>
    <w:rsid w:val="00820656"/>
    <w:rsid w:val="00820F2D"/>
    <w:rsid w:val="0082121A"/>
    <w:rsid w:val="00823962"/>
    <w:rsid w:val="008350B5"/>
    <w:rsid w:val="00841574"/>
    <w:rsid w:val="008454AD"/>
    <w:rsid w:val="008456A1"/>
    <w:rsid w:val="00851EB2"/>
    <w:rsid w:val="00852719"/>
    <w:rsid w:val="00855070"/>
    <w:rsid w:val="0085572F"/>
    <w:rsid w:val="00860115"/>
    <w:rsid w:val="00866BE9"/>
    <w:rsid w:val="00867D12"/>
    <w:rsid w:val="00870254"/>
    <w:rsid w:val="00870D4E"/>
    <w:rsid w:val="00872C68"/>
    <w:rsid w:val="008738A6"/>
    <w:rsid w:val="00875945"/>
    <w:rsid w:val="008761FD"/>
    <w:rsid w:val="008765F4"/>
    <w:rsid w:val="00881660"/>
    <w:rsid w:val="0088783C"/>
    <w:rsid w:val="008905B2"/>
    <w:rsid w:val="00891A1F"/>
    <w:rsid w:val="008935B4"/>
    <w:rsid w:val="00896137"/>
    <w:rsid w:val="008A27C7"/>
    <w:rsid w:val="008A3A3A"/>
    <w:rsid w:val="008B4906"/>
    <w:rsid w:val="008B6273"/>
    <w:rsid w:val="008B6819"/>
    <w:rsid w:val="008B6C73"/>
    <w:rsid w:val="008C28B1"/>
    <w:rsid w:val="008C3572"/>
    <w:rsid w:val="008C3D04"/>
    <w:rsid w:val="008C79A4"/>
    <w:rsid w:val="008D30EF"/>
    <w:rsid w:val="008D4145"/>
    <w:rsid w:val="008D5AA8"/>
    <w:rsid w:val="008E1CEC"/>
    <w:rsid w:val="008E26D9"/>
    <w:rsid w:val="008F1302"/>
    <w:rsid w:val="009019B1"/>
    <w:rsid w:val="00901BFA"/>
    <w:rsid w:val="0090347F"/>
    <w:rsid w:val="00913B1E"/>
    <w:rsid w:val="00924150"/>
    <w:rsid w:val="00924B89"/>
    <w:rsid w:val="009343A4"/>
    <w:rsid w:val="00936019"/>
    <w:rsid w:val="00936BFE"/>
    <w:rsid w:val="009370BC"/>
    <w:rsid w:val="009419D9"/>
    <w:rsid w:val="00941F56"/>
    <w:rsid w:val="00944C7D"/>
    <w:rsid w:val="00945A3B"/>
    <w:rsid w:val="00946AAA"/>
    <w:rsid w:val="009476C9"/>
    <w:rsid w:val="00947B18"/>
    <w:rsid w:val="00954DEC"/>
    <w:rsid w:val="00963C5F"/>
    <w:rsid w:val="009644F2"/>
    <w:rsid w:val="0096683A"/>
    <w:rsid w:val="00970580"/>
    <w:rsid w:val="0097258D"/>
    <w:rsid w:val="00975894"/>
    <w:rsid w:val="00975CA7"/>
    <w:rsid w:val="00977C48"/>
    <w:rsid w:val="009853FA"/>
    <w:rsid w:val="0098739B"/>
    <w:rsid w:val="00987A77"/>
    <w:rsid w:val="0099685D"/>
    <w:rsid w:val="009975F2"/>
    <w:rsid w:val="009A0D45"/>
    <w:rsid w:val="009A35C1"/>
    <w:rsid w:val="009A5642"/>
    <w:rsid w:val="009A5F02"/>
    <w:rsid w:val="009B2952"/>
    <w:rsid w:val="009B2A08"/>
    <w:rsid w:val="009B3355"/>
    <w:rsid w:val="009B4CB5"/>
    <w:rsid w:val="009B61E5"/>
    <w:rsid w:val="009C1297"/>
    <w:rsid w:val="009C232E"/>
    <w:rsid w:val="009C3582"/>
    <w:rsid w:val="009C5412"/>
    <w:rsid w:val="009C7670"/>
    <w:rsid w:val="009D1E89"/>
    <w:rsid w:val="009E02FF"/>
    <w:rsid w:val="009E19F9"/>
    <w:rsid w:val="009E5478"/>
    <w:rsid w:val="009E5707"/>
    <w:rsid w:val="009E5D12"/>
    <w:rsid w:val="009F0A37"/>
    <w:rsid w:val="009F0E6C"/>
    <w:rsid w:val="009F3441"/>
    <w:rsid w:val="009F587B"/>
    <w:rsid w:val="009F5ABF"/>
    <w:rsid w:val="009F71C3"/>
    <w:rsid w:val="00A025B3"/>
    <w:rsid w:val="00A0582B"/>
    <w:rsid w:val="00A10CFB"/>
    <w:rsid w:val="00A11633"/>
    <w:rsid w:val="00A13889"/>
    <w:rsid w:val="00A13D50"/>
    <w:rsid w:val="00A14D91"/>
    <w:rsid w:val="00A17661"/>
    <w:rsid w:val="00A178D5"/>
    <w:rsid w:val="00A1798B"/>
    <w:rsid w:val="00A20443"/>
    <w:rsid w:val="00A21908"/>
    <w:rsid w:val="00A24B2D"/>
    <w:rsid w:val="00A32230"/>
    <w:rsid w:val="00A33245"/>
    <w:rsid w:val="00A40966"/>
    <w:rsid w:val="00A42FD4"/>
    <w:rsid w:val="00A45B62"/>
    <w:rsid w:val="00A47648"/>
    <w:rsid w:val="00A61A00"/>
    <w:rsid w:val="00A6294B"/>
    <w:rsid w:val="00A644C5"/>
    <w:rsid w:val="00A647DC"/>
    <w:rsid w:val="00A6614F"/>
    <w:rsid w:val="00A708DB"/>
    <w:rsid w:val="00A73D03"/>
    <w:rsid w:val="00A756C9"/>
    <w:rsid w:val="00A76118"/>
    <w:rsid w:val="00A7657D"/>
    <w:rsid w:val="00A803BD"/>
    <w:rsid w:val="00A81B96"/>
    <w:rsid w:val="00A82366"/>
    <w:rsid w:val="00A91DB5"/>
    <w:rsid w:val="00A921E0"/>
    <w:rsid w:val="00A922F4"/>
    <w:rsid w:val="00A9740C"/>
    <w:rsid w:val="00AA07DB"/>
    <w:rsid w:val="00AA2146"/>
    <w:rsid w:val="00AA246E"/>
    <w:rsid w:val="00AA2507"/>
    <w:rsid w:val="00AA4567"/>
    <w:rsid w:val="00AA6B59"/>
    <w:rsid w:val="00AB104F"/>
    <w:rsid w:val="00AB1B78"/>
    <w:rsid w:val="00AB3F08"/>
    <w:rsid w:val="00AB40E4"/>
    <w:rsid w:val="00AB5DFD"/>
    <w:rsid w:val="00AC01A5"/>
    <w:rsid w:val="00AC0406"/>
    <w:rsid w:val="00AC0466"/>
    <w:rsid w:val="00AC1A53"/>
    <w:rsid w:val="00AC2F49"/>
    <w:rsid w:val="00AD24D3"/>
    <w:rsid w:val="00AD760E"/>
    <w:rsid w:val="00AE5209"/>
    <w:rsid w:val="00AE5526"/>
    <w:rsid w:val="00AE6F59"/>
    <w:rsid w:val="00AF051B"/>
    <w:rsid w:val="00AF05BA"/>
    <w:rsid w:val="00AF2923"/>
    <w:rsid w:val="00AF3074"/>
    <w:rsid w:val="00AF5D7B"/>
    <w:rsid w:val="00AF7EC1"/>
    <w:rsid w:val="00B00E2C"/>
    <w:rsid w:val="00B00F1D"/>
    <w:rsid w:val="00B01578"/>
    <w:rsid w:val="00B0738F"/>
    <w:rsid w:val="00B13D3B"/>
    <w:rsid w:val="00B1582A"/>
    <w:rsid w:val="00B17BA2"/>
    <w:rsid w:val="00B17CD2"/>
    <w:rsid w:val="00B21FE1"/>
    <w:rsid w:val="00B230DB"/>
    <w:rsid w:val="00B2611B"/>
    <w:rsid w:val="00B26457"/>
    <w:rsid w:val="00B26601"/>
    <w:rsid w:val="00B2710C"/>
    <w:rsid w:val="00B302B6"/>
    <w:rsid w:val="00B3306F"/>
    <w:rsid w:val="00B33A9A"/>
    <w:rsid w:val="00B356C6"/>
    <w:rsid w:val="00B402F2"/>
    <w:rsid w:val="00B40C19"/>
    <w:rsid w:val="00B41951"/>
    <w:rsid w:val="00B53229"/>
    <w:rsid w:val="00B54A3A"/>
    <w:rsid w:val="00B55DAC"/>
    <w:rsid w:val="00B62480"/>
    <w:rsid w:val="00B628D1"/>
    <w:rsid w:val="00B66F42"/>
    <w:rsid w:val="00B75130"/>
    <w:rsid w:val="00B81B70"/>
    <w:rsid w:val="00B847EA"/>
    <w:rsid w:val="00B92903"/>
    <w:rsid w:val="00B93DAC"/>
    <w:rsid w:val="00B94A94"/>
    <w:rsid w:val="00B96BEC"/>
    <w:rsid w:val="00BA0C8A"/>
    <w:rsid w:val="00BA5839"/>
    <w:rsid w:val="00BB09CE"/>
    <w:rsid w:val="00BB3BAB"/>
    <w:rsid w:val="00BB3CD3"/>
    <w:rsid w:val="00BB5A3A"/>
    <w:rsid w:val="00BB6D81"/>
    <w:rsid w:val="00BB74C5"/>
    <w:rsid w:val="00BB7DD2"/>
    <w:rsid w:val="00BC4BA5"/>
    <w:rsid w:val="00BD00D3"/>
    <w:rsid w:val="00BD0724"/>
    <w:rsid w:val="00BD23E4"/>
    <w:rsid w:val="00BD2B91"/>
    <w:rsid w:val="00BD2E6D"/>
    <w:rsid w:val="00BD4390"/>
    <w:rsid w:val="00BD4C86"/>
    <w:rsid w:val="00BD6117"/>
    <w:rsid w:val="00BE4096"/>
    <w:rsid w:val="00BE5521"/>
    <w:rsid w:val="00BF1434"/>
    <w:rsid w:val="00BF544E"/>
    <w:rsid w:val="00BF6C23"/>
    <w:rsid w:val="00C067A0"/>
    <w:rsid w:val="00C07DB0"/>
    <w:rsid w:val="00C14125"/>
    <w:rsid w:val="00C14D55"/>
    <w:rsid w:val="00C1536C"/>
    <w:rsid w:val="00C16EF1"/>
    <w:rsid w:val="00C263D2"/>
    <w:rsid w:val="00C2663B"/>
    <w:rsid w:val="00C27765"/>
    <w:rsid w:val="00C4214A"/>
    <w:rsid w:val="00C42733"/>
    <w:rsid w:val="00C42EE6"/>
    <w:rsid w:val="00C4517F"/>
    <w:rsid w:val="00C47CC8"/>
    <w:rsid w:val="00C53263"/>
    <w:rsid w:val="00C543D6"/>
    <w:rsid w:val="00C55C33"/>
    <w:rsid w:val="00C604A2"/>
    <w:rsid w:val="00C6058D"/>
    <w:rsid w:val="00C618C5"/>
    <w:rsid w:val="00C67969"/>
    <w:rsid w:val="00C70DCB"/>
    <w:rsid w:val="00C727EE"/>
    <w:rsid w:val="00C72B62"/>
    <w:rsid w:val="00C74413"/>
    <w:rsid w:val="00C75F1D"/>
    <w:rsid w:val="00C771DD"/>
    <w:rsid w:val="00C81EC0"/>
    <w:rsid w:val="00C85DF2"/>
    <w:rsid w:val="00C85F80"/>
    <w:rsid w:val="00C87315"/>
    <w:rsid w:val="00C9052F"/>
    <w:rsid w:val="00C90828"/>
    <w:rsid w:val="00C93AD4"/>
    <w:rsid w:val="00C95156"/>
    <w:rsid w:val="00C958D1"/>
    <w:rsid w:val="00C96FF3"/>
    <w:rsid w:val="00C97C62"/>
    <w:rsid w:val="00C97E85"/>
    <w:rsid w:val="00CA0D83"/>
    <w:rsid w:val="00CA0DC2"/>
    <w:rsid w:val="00CA4F60"/>
    <w:rsid w:val="00CB1358"/>
    <w:rsid w:val="00CB2F12"/>
    <w:rsid w:val="00CB5552"/>
    <w:rsid w:val="00CB68E8"/>
    <w:rsid w:val="00CB7313"/>
    <w:rsid w:val="00CB7ED3"/>
    <w:rsid w:val="00CC0217"/>
    <w:rsid w:val="00CC2234"/>
    <w:rsid w:val="00CC6E2C"/>
    <w:rsid w:val="00CD4903"/>
    <w:rsid w:val="00CE023D"/>
    <w:rsid w:val="00CE315F"/>
    <w:rsid w:val="00CE4C36"/>
    <w:rsid w:val="00CE5028"/>
    <w:rsid w:val="00CF12D3"/>
    <w:rsid w:val="00CF5B30"/>
    <w:rsid w:val="00CF7573"/>
    <w:rsid w:val="00D04D85"/>
    <w:rsid w:val="00D04F01"/>
    <w:rsid w:val="00D06414"/>
    <w:rsid w:val="00D118F9"/>
    <w:rsid w:val="00D11DCB"/>
    <w:rsid w:val="00D13795"/>
    <w:rsid w:val="00D14513"/>
    <w:rsid w:val="00D162B1"/>
    <w:rsid w:val="00D16C65"/>
    <w:rsid w:val="00D24214"/>
    <w:rsid w:val="00D24E5A"/>
    <w:rsid w:val="00D25B83"/>
    <w:rsid w:val="00D3014D"/>
    <w:rsid w:val="00D30A47"/>
    <w:rsid w:val="00D31264"/>
    <w:rsid w:val="00D3163F"/>
    <w:rsid w:val="00D338E4"/>
    <w:rsid w:val="00D3472C"/>
    <w:rsid w:val="00D367D1"/>
    <w:rsid w:val="00D403F4"/>
    <w:rsid w:val="00D4379B"/>
    <w:rsid w:val="00D438C8"/>
    <w:rsid w:val="00D44631"/>
    <w:rsid w:val="00D4609F"/>
    <w:rsid w:val="00D47C09"/>
    <w:rsid w:val="00D506F9"/>
    <w:rsid w:val="00D51947"/>
    <w:rsid w:val="00D532F0"/>
    <w:rsid w:val="00D55337"/>
    <w:rsid w:val="00D57F71"/>
    <w:rsid w:val="00D63395"/>
    <w:rsid w:val="00D636EB"/>
    <w:rsid w:val="00D637DB"/>
    <w:rsid w:val="00D6679C"/>
    <w:rsid w:val="00D67288"/>
    <w:rsid w:val="00D71428"/>
    <w:rsid w:val="00D715D9"/>
    <w:rsid w:val="00D740A3"/>
    <w:rsid w:val="00D75671"/>
    <w:rsid w:val="00D762B3"/>
    <w:rsid w:val="00D76554"/>
    <w:rsid w:val="00D77413"/>
    <w:rsid w:val="00D77B2A"/>
    <w:rsid w:val="00D82759"/>
    <w:rsid w:val="00D84188"/>
    <w:rsid w:val="00D86DE4"/>
    <w:rsid w:val="00D86F4A"/>
    <w:rsid w:val="00D93532"/>
    <w:rsid w:val="00D953B8"/>
    <w:rsid w:val="00D9627F"/>
    <w:rsid w:val="00D96A99"/>
    <w:rsid w:val="00D9703C"/>
    <w:rsid w:val="00DA0FA1"/>
    <w:rsid w:val="00DA2BBF"/>
    <w:rsid w:val="00DA62F3"/>
    <w:rsid w:val="00DA6DC3"/>
    <w:rsid w:val="00DB00E6"/>
    <w:rsid w:val="00DB595A"/>
    <w:rsid w:val="00DC0DF7"/>
    <w:rsid w:val="00DC208A"/>
    <w:rsid w:val="00DC35E8"/>
    <w:rsid w:val="00DC4A84"/>
    <w:rsid w:val="00DD0071"/>
    <w:rsid w:val="00DD4836"/>
    <w:rsid w:val="00DD6917"/>
    <w:rsid w:val="00DD6986"/>
    <w:rsid w:val="00DE079E"/>
    <w:rsid w:val="00DE1909"/>
    <w:rsid w:val="00DE51DB"/>
    <w:rsid w:val="00DE77D2"/>
    <w:rsid w:val="00DF07C7"/>
    <w:rsid w:val="00DF31C8"/>
    <w:rsid w:val="00DF3DF8"/>
    <w:rsid w:val="00DF6E27"/>
    <w:rsid w:val="00E036F8"/>
    <w:rsid w:val="00E11C3A"/>
    <w:rsid w:val="00E125E7"/>
    <w:rsid w:val="00E12A64"/>
    <w:rsid w:val="00E14442"/>
    <w:rsid w:val="00E15F81"/>
    <w:rsid w:val="00E165C5"/>
    <w:rsid w:val="00E2161D"/>
    <w:rsid w:val="00E230DA"/>
    <w:rsid w:val="00E23482"/>
    <w:rsid w:val="00E23F1D"/>
    <w:rsid w:val="00E24444"/>
    <w:rsid w:val="00E266C7"/>
    <w:rsid w:val="00E30E05"/>
    <w:rsid w:val="00E31045"/>
    <w:rsid w:val="00E34092"/>
    <w:rsid w:val="00E36361"/>
    <w:rsid w:val="00E37E75"/>
    <w:rsid w:val="00E42F05"/>
    <w:rsid w:val="00E445B7"/>
    <w:rsid w:val="00E53084"/>
    <w:rsid w:val="00E5318E"/>
    <w:rsid w:val="00E55AD6"/>
    <w:rsid w:val="00E55AE9"/>
    <w:rsid w:val="00E626E2"/>
    <w:rsid w:val="00E715F1"/>
    <w:rsid w:val="00E83257"/>
    <w:rsid w:val="00E83674"/>
    <w:rsid w:val="00E83F6B"/>
    <w:rsid w:val="00E84CE1"/>
    <w:rsid w:val="00E91AFF"/>
    <w:rsid w:val="00EA14C9"/>
    <w:rsid w:val="00EA331C"/>
    <w:rsid w:val="00EA3B2E"/>
    <w:rsid w:val="00EA5F6B"/>
    <w:rsid w:val="00EA6B60"/>
    <w:rsid w:val="00EB0C84"/>
    <w:rsid w:val="00EC6189"/>
    <w:rsid w:val="00ED048E"/>
    <w:rsid w:val="00ED100F"/>
    <w:rsid w:val="00ED2185"/>
    <w:rsid w:val="00ED2A13"/>
    <w:rsid w:val="00ED5BE7"/>
    <w:rsid w:val="00ED7817"/>
    <w:rsid w:val="00EE20E2"/>
    <w:rsid w:val="00EE3424"/>
    <w:rsid w:val="00EE77D8"/>
    <w:rsid w:val="00EF04EB"/>
    <w:rsid w:val="00EF2484"/>
    <w:rsid w:val="00EF43EC"/>
    <w:rsid w:val="00EF7CD2"/>
    <w:rsid w:val="00F0230C"/>
    <w:rsid w:val="00F02F6D"/>
    <w:rsid w:val="00F03B43"/>
    <w:rsid w:val="00F05C41"/>
    <w:rsid w:val="00F12B32"/>
    <w:rsid w:val="00F12EF0"/>
    <w:rsid w:val="00F13C01"/>
    <w:rsid w:val="00F144B7"/>
    <w:rsid w:val="00F14FAE"/>
    <w:rsid w:val="00F15008"/>
    <w:rsid w:val="00F15B77"/>
    <w:rsid w:val="00F1779F"/>
    <w:rsid w:val="00F17A9A"/>
    <w:rsid w:val="00F17FDE"/>
    <w:rsid w:val="00F20A0D"/>
    <w:rsid w:val="00F224F6"/>
    <w:rsid w:val="00F26406"/>
    <w:rsid w:val="00F269A7"/>
    <w:rsid w:val="00F31577"/>
    <w:rsid w:val="00F36364"/>
    <w:rsid w:val="00F40107"/>
    <w:rsid w:val="00F40D53"/>
    <w:rsid w:val="00F412CF"/>
    <w:rsid w:val="00F4525C"/>
    <w:rsid w:val="00F45362"/>
    <w:rsid w:val="00F46FC3"/>
    <w:rsid w:val="00F50D86"/>
    <w:rsid w:val="00F519F8"/>
    <w:rsid w:val="00F54A84"/>
    <w:rsid w:val="00F55BBB"/>
    <w:rsid w:val="00F5649E"/>
    <w:rsid w:val="00F56791"/>
    <w:rsid w:val="00F6305B"/>
    <w:rsid w:val="00F65DCE"/>
    <w:rsid w:val="00F66CC3"/>
    <w:rsid w:val="00F70CB6"/>
    <w:rsid w:val="00F7295B"/>
    <w:rsid w:val="00F74EEA"/>
    <w:rsid w:val="00F812C7"/>
    <w:rsid w:val="00F826DA"/>
    <w:rsid w:val="00F923F5"/>
    <w:rsid w:val="00F929C3"/>
    <w:rsid w:val="00F94630"/>
    <w:rsid w:val="00F96513"/>
    <w:rsid w:val="00F96B73"/>
    <w:rsid w:val="00FA00E4"/>
    <w:rsid w:val="00FA4208"/>
    <w:rsid w:val="00FA4E23"/>
    <w:rsid w:val="00FA518C"/>
    <w:rsid w:val="00FA7A82"/>
    <w:rsid w:val="00FB547E"/>
    <w:rsid w:val="00FB55C2"/>
    <w:rsid w:val="00FC13A6"/>
    <w:rsid w:val="00FC1538"/>
    <w:rsid w:val="00FC1EE4"/>
    <w:rsid w:val="00FC7E57"/>
    <w:rsid w:val="00FD29D3"/>
    <w:rsid w:val="00FD2D9E"/>
    <w:rsid w:val="00FD5C40"/>
    <w:rsid w:val="00FD7EA2"/>
    <w:rsid w:val="00FE08EF"/>
    <w:rsid w:val="00FE3F0B"/>
    <w:rsid w:val="00FE6CCC"/>
    <w:rsid w:val="00FE7C1E"/>
    <w:rsid w:val="00FF2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08AF29F3"/>
  <w15:docId w15:val="{9024F5E1-E277-4978-B65A-D4D356A7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BD6117"/>
    <w:pPr>
      <w:numPr>
        <w:numId w:val="31"/>
      </w:numPr>
      <w:tabs>
        <w:tab w:val="left" w:pos="425"/>
      </w:tabs>
      <w:spacing w:before="60" w:after="60"/>
      <w:ind w:left="425" w:right="-4" w:hanging="425"/>
      <w:contextualSpacing/>
    </w:pPr>
    <w:rPr>
      <w:rFonts w:eastAsia="Times New Roman"/>
      <w:color w:val="auto"/>
      <w:kern w:val="22"/>
      <w:lang w:val="en-GB" w:eastAsia="ja-JP"/>
    </w:rPr>
  </w:style>
  <w:style w:type="paragraph" w:customStyle="1" w:styleId="VCAAbulletlevel2">
    <w:name w:val="VCAA bullet level 2"/>
    <w:basedOn w:val="VCAAbullet"/>
    <w:autoRedefine/>
    <w:qFormat/>
    <w:rsid w:val="00742A80"/>
    <w:pPr>
      <w:numPr>
        <w:numId w:val="35"/>
      </w:numPr>
      <w:tabs>
        <w:tab w:val="clear" w:pos="425"/>
      </w:tabs>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197DB6"/>
    <w:pPr>
      <w:numPr>
        <w:numId w:val="23"/>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Bahnschrift Light Condensed" w:hAnsi="Bahnschrift Light Condensed"/>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Bahnschrift Light Condensed" w:hAnsi="Bahnschrift Light Condensed"/>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pPr>
      <w:spacing w:line="240" w:lineRule="auto"/>
    </w:pPr>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character" w:customStyle="1" w:styleId="UnresolvedMention1">
    <w:name w:val="Unresolved Mention1"/>
    <w:basedOn w:val="DefaultParagraphFont"/>
    <w:uiPriority w:val="99"/>
    <w:semiHidden/>
    <w:unhideWhenUsed/>
    <w:rsid w:val="00C14125"/>
    <w:rPr>
      <w:color w:val="605E5C"/>
      <w:shd w:val="clear" w:color="auto" w:fill="E1DFDD"/>
    </w:rPr>
  </w:style>
  <w:style w:type="table" w:customStyle="1" w:styleId="VCAATableClosed1">
    <w:name w:val="VCAA Table Closed1"/>
    <w:basedOn w:val="VCAATable"/>
    <w:uiPriority w:val="99"/>
    <w:rsid w:val="000C751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Bahnschrift Condensed" w:hAnsi="Bahnschrift Condensed"/>
        <w:b/>
        <w:color w:val="FFFFFF" w:themeColor="background1"/>
        <w:sz w:val="22"/>
      </w:rPr>
      <w:tblPr/>
      <w:trPr>
        <w:tblHeader/>
      </w:trPr>
      <w:tcPr>
        <w:tcBorders>
          <w:insideV w:val="single" w:sz="4" w:space="0" w:color="FFFFFF" w:themeColor="background1"/>
        </w:tcBorders>
        <w:shd w:val="clear" w:color="auto" w:fill="0F7EB4"/>
      </w:tcPr>
    </w:tblStylePr>
  </w:style>
  <w:style w:type="paragraph" w:styleId="Revision">
    <w:name w:val="Revision"/>
    <w:hidden/>
    <w:uiPriority w:val="99"/>
    <w:semiHidden/>
    <w:rsid w:val="008F1302"/>
    <w:pPr>
      <w:spacing w:after="0" w:line="240" w:lineRule="auto"/>
    </w:pPr>
  </w:style>
  <w:style w:type="paragraph" w:styleId="ListParagraph">
    <w:name w:val="List Paragraph"/>
    <w:basedOn w:val="Normal"/>
    <w:uiPriority w:val="34"/>
    <w:qFormat/>
    <w:rsid w:val="00D11DCB"/>
    <w:pPr>
      <w:spacing w:before="90" w:after="178" w:line="262" w:lineRule="atLeast"/>
      <w:ind w:left="720"/>
      <w:contextualSpacing/>
    </w:pPr>
    <w:rPr>
      <w:rFonts w:ascii="Arial" w:eastAsia="Times New Roman" w:hAnsi="Arial" w:cs="Times New Roman"/>
      <w:spacing w:val="4"/>
      <w:szCs w:val="24"/>
    </w:rPr>
  </w:style>
  <w:style w:type="paragraph" w:styleId="NormalWeb">
    <w:name w:val="Normal (Web)"/>
    <w:basedOn w:val="Normal"/>
    <w:uiPriority w:val="99"/>
    <w:semiHidden/>
    <w:unhideWhenUsed/>
    <w:rsid w:val="005923E1"/>
    <w:pPr>
      <w:spacing w:before="100" w:beforeAutospacing="1" w:after="100" w:afterAutospacing="1" w:line="240" w:lineRule="auto"/>
    </w:pPr>
    <w:rPr>
      <w:rFonts w:ascii="Times New Roman" w:eastAsiaTheme="minorEastAsia" w:hAnsi="Times New Roman" w:cs="Times New Roman"/>
      <w:sz w:val="24"/>
      <w:szCs w:val="24"/>
      <w:lang w:val="en-GB"/>
    </w:rPr>
  </w:style>
  <w:style w:type="character" w:styleId="UnresolvedMention">
    <w:name w:val="Unresolved Mention"/>
    <w:basedOn w:val="DefaultParagraphFont"/>
    <w:uiPriority w:val="99"/>
    <w:semiHidden/>
    <w:unhideWhenUsed/>
    <w:rsid w:val="001D0089"/>
    <w:rPr>
      <w:color w:val="605E5C"/>
      <w:shd w:val="clear" w:color="auto" w:fill="E1DFDD"/>
    </w:rPr>
  </w:style>
  <w:style w:type="character" w:customStyle="1" w:styleId="cf01">
    <w:name w:val="cf01"/>
    <w:basedOn w:val="DefaultParagraphFont"/>
    <w:rsid w:val="005608A7"/>
    <w:rPr>
      <w:rFonts w:ascii="Segoe UI" w:hAnsi="Segoe UI" w:cs="Segoe UI" w:hint="default"/>
      <w:sz w:val="18"/>
      <w:szCs w:val="18"/>
    </w:rPr>
  </w:style>
  <w:style w:type="paragraph" w:customStyle="1" w:styleId="xmsonormal">
    <w:name w:val="x_msonormal"/>
    <w:basedOn w:val="Normal"/>
    <w:rsid w:val="003575F8"/>
    <w:pPr>
      <w:spacing w:after="0" w:line="240" w:lineRule="auto"/>
    </w:pPr>
    <w:rPr>
      <w:rFonts w:ascii="Calibri" w:hAnsi="Calibri" w:cs="Calibri"/>
      <w:lang w:val="en-US"/>
    </w:rPr>
  </w:style>
  <w:style w:type="character" w:customStyle="1" w:styleId="cf11">
    <w:name w:val="cf11"/>
    <w:basedOn w:val="DefaultParagraphFont"/>
    <w:rsid w:val="006A4C4D"/>
    <w:rPr>
      <w:rFonts w:ascii="Segoe UI" w:hAnsi="Segoe UI" w:cs="Segoe UI" w:hint="default"/>
      <w:sz w:val="18"/>
      <w:szCs w:val="18"/>
    </w:rPr>
  </w:style>
  <w:style w:type="character" w:customStyle="1" w:styleId="cf21">
    <w:name w:val="cf21"/>
    <w:basedOn w:val="DefaultParagraphFont"/>
    <w:rsid w:val="006A4C4D"/>
    <w:rPr>
      <w:rFonts w:ascii="Segoe UI" w:hAnsi="Segoe UI" w:cs="Segoe UI" w:hint="default"/>
      <w:sz w:val="18"/>
      <w:szCs w:val="18"/>
    </w:rPr>
  </w:style>
  <w:style w:type="paragraph" w:customStyle="1" w:styleId="paragraph">
    <w:name w:val="paragraph"/>
    <w:basedOn w:val="Normal"/>
    <w:rsid w:val="000171F4"/>
    <w:pPr>
      <w:spacing w:before="100" w:beforeAutospacing="1" w:after="100" w:afterAutospacing="1" w:line="240" w:lineRule="auto"/>
    </w:pPr>
    <w:rPr>
      <w:rFonts w:ascii="Calibri" w:hAnsi="Calibri" w:cs="Calibri"/>
      <w:lang w:eastAsia="en-AU"/>
    </w:rPr>
  </w:style>
  <w:style w:type="character" w:customStyle="1" w:styleId="normaltextrun">
    <w:name w:val="normaltextrun"/>
    <w:basedOn w:val="DefaultParagraphFont"/>
    <w:rsid w:val="000171F4"/>
  </w:style>
  <w:style w:type="character" w:customStyle="1" w:styleId="eop">
    <w:name w:val="eop"/>
    <w:basedOn w:val="DefaultParagraphFont"/>
    <w:rsid w:val="000171F4"/>
  </w:style>
  <w:style w:type="table" w:customStyle="1" w:styleId="VCAAopentable">
    <w:name w:val="VCAA open table"/>
    <w:basedOn w:val="TableNormal"/>
    <w:uiPriority w:val="99"/>
    <w:rsid w:val="00C6058D"/>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938029">
      <w:bodyDiv w:val="1"/>
      <w:marLeft w:val="0"/>
      <w:marRight w:val="0"/>
      <w:marTop w:val="0"/>
      <w:marBottom w:val="0"/>
      <w:divBdr>
        <w:top w:val="none" w:sz="0" w:space="0" w:color="auto"/>
        <w:left w:val="none" w:sz="0" w:space="0" w:color="auto"/>
        <w:bottom w:val="none" w:sz="0" w:space="0" w:color="auto"/>
        <w:right w:val="none" w:sz="0" w:space="0" w:color="auto"/>
      </w:divBdr>
    </w:div>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caa.vic.edu.au/Footer/Pages/Copyright.aspx" TargetMode="External"/><Relationship Id="rId18" Type="http://schemas.openxmlformats.org/officeDocument/2006/relationships/hyperlink" Target="https://www.vcaa.vic.edu.au/Footer/Pages/Subscribe.aspx" TargetMode="External"/><Relationship Id="rId26" Type="http://schemas.openxmlformats.org/officeDocument/2006/relationships/hyperlink" Target="https://ccyp.vic.gov.au/" TargetMode="External"/><Relationship Id="rId39" Type="http://schemas.openxmlformats.org/officeDocument/2006/relationships/header" Target="header5.xml"/><Relationship Id="rId21" Type="http://schemas.openxmlformats.org/officeDocument/2006/relationships/hyperlink" Target="https://www.vcaa.vic.edu.au/news-and-events/bulletins-and-updates/bulletin/Pages/index.aspx" TargetMode="External"/><Relationship Id="rId34" Type="http://schemas.openxmlformats.org/officeDocument/2006/relationships/header" Target="header2.xml"/><Relationship Id="rId42" Type="http://schemas.openxmlformats.org/officeDocument/2006/relationships/hyperlink" Target="https://www.vcaa.vic.edu.au/administration/vce-vcal-handbook/Pages/index.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media.publications@education.vic.gov.au" TargetMode="External"/><Relationship Id="rId20" Type="http://schemas.openxmlformats.org/officeDocument/2006/relationships/hyperlink" Target="https://www.vcaa.vic.edu.au/Footer/Pages/Copyright.aspx" TargetMode="External"/><Relationship Id="rId29" Type="http://schemas.openxmlformats.org/officeDocument/2006/relationships/hyperlink" Target="https://www.vcaa.vic.edu.au/administration/vce-vcal-handbook/Pages/index.aspx" TargetMode="External"/><Relationship Id="rId41" Type="http://schemas.openxmlformats.org/officeDocument/2006/relationships/hyperlink" Target="https://www.vcaa.vic.edu.au/curriculum/vce/vce-study-designs/health-human-development/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caa.vic.edu.au/curriculum/vce/vce-study-designs/health-human-development/Pages/Index.aspx" TargetMode="External"/><Relationship Id="rId32" Type="http://schemas.openxmlformats.org/officeDocument/2006/relationships/header" Target="header1.xm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mailto:vcaa.copyright@education.vic.gov.au" TargetMode="External"/><Relationship Id="rId23" Type="http://schemas.openxmlformats.org/officeDocument/2006/relationships/hyperlink" Target="https://www2.education.vic.gov.au/pal/recruitment-schools/policy-and-guidelines/qualifications"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caa.vic.edu.au/administration/vce-vcal-handbook/Pages/index.aspx" TargetMode="External"/><Relationship Id="rId31" Type="http://schemas.openxmlformats.org/officeDocument/2006/relationships/hyperlink" Target="https://www.vaeai.org.au/?s=Protocols+for+Koorie+education+in+Victoria"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 TargetMode="External"/><Relationship Id="rId22" Type="http://schemas.openxmlformats.org/officeDocument/2006/relationships/hyperlink" Target="https://www.vcaa.vic.edu.au/administration/vce-vcal-handbook/Pages/index.aspx" TargetMode="External"/><Relationship Id="rId27" Type="http://schemas.openxmlformats.org/officeDocument/2006/relationships/hyperlink" Target="https://www2.education.vic.gov.au/pal/child-safe-standards/policy" TargetMode="External"/><Relationship Id="rId30" Type="http://schemas.openxmlformats.org/officeDocument/2006/relationships/hyperlink" Target="https://www2.education.vic.gov.au/pal/recruitment-schools/policy-and-guidelines/qualifications" TargetMode="External"/><Relationship Id="rId35" Type="http://schemas.openxmlformats.org/officeDocument/2006/relationships/footer" Target="footer2.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vcaa.vic.edu.au/Footer/Pages/Copyright.aspx" TargetMode="External"/><Relationship Id="rId17" Type="http://schemas.openxmlformats.org/officeDocument/2006/relationships/hyperlink" Target="https://www.vcaa.vic.edu.au/news-and-events/bulletins-and-updates/bulletin/Pages/index.aspx" TargetMode="External"/><Relationship Id="rId25" Type="http://schemas.openxmlformats.org/officeDocument/2006/relationships/hyperlink" Target="https://www.vrqa.vic.gov.au/childsafe/Pages/Home.aspx" TargetMode="External"/><Relationship Id="rId33" Type="http://schemas.openxmlformats.org/officeDocument/2006/relationships/footer" Target="footer1.xml"/><Relationship Id="rId38" Type="http://schemas.openxmlformats.org/officeDocument/2006/relationships/hyperlink" Target="https://www.vcaa.vic.edu.au/curriculum/vce/vce-study-designs/health-human-development/Pages/Index.asp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schemas.openxmlformats.org/package/2006/metadata/core-properties"/>
    <ds:schemaRef ds:uri="http://schemas.microsoft.com/office/infopath/2007/PartnerControls"/>
    <ds:schemaRef ds:uri="1aab662d-a6b2-42d6-996b-a574723d1ad8"/>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http://purl.org/dc/dcmitype/"/>
    <ds:schemaRef ds:uri="http://schemas.microsoft.com/sharepoint/v3"/>
  </ds:schemaRefs>
</ds:datastoreItem>
</file>

<file path=customXml/itemProps2.xml><?xml version="1.0" encoding="utf-8"?>
<ds:datastoreItem xmlns:ds="http://schemas.openxmlformats.org/officeDocument/2006/customXml" ds:itemID="{A0B4EAF7-46F8-6B48-8EFE-46F10082E64D}">
  <ds:schemaRefs>
    <ds:schemaRef ds:uri="http://schemas.openxmlformats.org/officeDocument/2006/bibliography"/>
  </ds:schemaRefs>
</ds:datastoreItem>
</file>

<file path=customXml/itemProps3.xml><?xml version="1.0" encoding="utf-8"?>
<ds:datastoreItem xmlns:ds="http://schemas.openxmlformats.org/officeDocument/2006/customXml" ds:itemID="{B29B318E-6FFE-4B36-AE5C-0E4FF48AC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10667</Words>
  <Characters>60803</Characters>
  <Application>Microsoft Office Word</Application>
  <DocSecurity>4</DocSecurity>
  <Lines>506</Lines>
  <Paragraphs>142</Paragraphs>
  <ScaleCrop>false</ScaleCrop>
  <HeadingPairs>
    <vt:vector size="2" baseType="variant">
      <vt:variant>
        <vt:lpstr>Title</vt:lpstr>
      </vt:variant>
      <vt:variant>
        <vt:i4>1</vt:i4>
      </vt:variant>
    </vt:vector>
  </HeadingPairs>
  <TitlesOfParts>
    <vt:vector size="1" baseType="lpstr">
      <vt:lpstr>VCE Health and Human Development Study Design</vt:lpstr>
    </vt:vector>
  </TitlesOfParts>
  <Company>Victorian Curriculum and Assessment Authority</Company>
  <LinksUpToDate>false</LinksUpToDate>
  <CharactersWithSpaces>71328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Health and Human Development Study Design</dc:title>
  <dc:subject>Health and Human Development</dc:subject>
  <dc:creator>vcaa@education.vic.gov.au</dc:creator>
  <cp:keywords>Health and Human Development, vce, study design, assessment, outcomes, examinations,</cp:keywords>
  <dc:description/>
  <cp:lastModifiedBy>Vanessa Flores</cp:lastModifiedBy>
  <cp:revision>2</cp:revision>
  <cp:lastPrinted>2024-01-14T22:21:00Z</cp:lastPrinted>
  <dcterms:created xsi:type="dcterms:W3CDTF">2025-04-03T04:40:00Z</dcterms:created>
  <dcterms:modified xsi:type="dcterms:W3CDTF">2025-04-03T04:40:00Z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